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88302" w14:textId="736642AA" w:rsidR="00DF1DB6" w:rsidRPr="00C710E8" w:rsidRDefault="00DF1DB6" w:rsidP="00704265">
      <w:pPr>
        <w:suppressLineNumbers/>
        <w:spacing w:before="120" w:after="240"/>
        <w:jc w:val="center"/>
        <w:rPr>
          <w:b/>
          <w:caps/>
        </w:rPr>
      </w:pPr>
      <w:r w:rsidRPr="00480F37">
        <w:rPr>
          <w:b/>
          <w:caps/>
        </w:rPr>
        <w:t xml:space="preserve">IN THE {caseDesignation} COURT OF {caseCounty} COUNTY, </w:t>
      </w:r>
      <w:r w:rsidR="00602A97" w:rsidRPr="00480F37">
        <w:rPr>
          <w:b/>
          <w:caps/>
        </w:rPr>
        <w:t>{caseState}</w:t>
      </w:r>
      <w:r w:rsidR="00602A97" w:rsidRPr="00EC5A6A">
        <w:rPr>
          <w:b/>
          <w:caps/>
        </w:rPr>
        <w:t>{caseDivisionLocation}</w:t>
      </w:r>
      <w:r w:rsidRPr="00480F37">
        <w:rPr>
          <w:b/>
          <w:caps/>
        </w:rPr>
        <w:br/>
        <w:t>{caseDivisionDesignation}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F1DB6" w:rsidRPr="000A6AAD" w14:paraId="026554AF" w14:textId="77777777" w:rsidTr="00F6270E">
        <w:tc>
          <w:tcPr>
            <w:tcW w:w="4675" w:type="dxa"/>
          </w:tcPr>
          <w:p w14:paraId="1EE6C79C" w14:textId="77777777" w:rsidR="00DF1DB6" w:rsidRPr="000431AC" w:rsidRDefault="00DF1DB6" w:rsidP="00F6270E">
            <w:pPr>
              <w:rPr>
                <w:b/>
                <w:caps/>
              </w:rPr>
            </w:pPr>
            <w:proofErr w:type="gramStart"/>
            <w:r w:rsidRPr="000431AC">
              <w:rPr>
                <w:b/>
                <w:caps/>
              </w:rPr>
              <w:t>{casePlaintiff},</w:t>
            </w:r>
            <w:proofErr w:type="gramEnd"/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16846405" w14:textId="77777777" w:rsidR="00DF1DB6" w:rsidRPr="000A6AAD" w:rsidRDefault="00DF1DB6" w:rsidP="00F6270E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6FFDDE11" w14:textId="77777777" w:rsidR="00DF1DB6" w:rsidRPr="000A6AAD" w:rsidRDefault="00DF1DB6" w:rsidP="00F6270E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793D329A" w14:textId="77777777" w:rsidR="00DF1DB6" w:rsidRPr="000A6AAD" w:rsidRDefault="00DF1DB6" w:rsidP="00F6270E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3BCB24AC" w14:textId="77777777" w:rsidR="00DF1DB6" w:rsidRPr="000431AC" w:rsidRDefault="00DF1DB6" w:rsidP="00F6270E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{caseDefendant},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7B4AB585" w14:textId="77777777" w:rsidR="00DF1DB6" w:rsidRPr="000A6AAD" w:rsidRDefault="00DF1DB6" w:rsidP="00F6270E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57F10771" w14:textId="4A794C08" w:rsidR="00DF1DB6" w:rsidRPr="000A6AAD" w:rsidRDefault="00DF1DB6" w:rsidP="00F6270E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</w:tc>
        <w:tc>
          <w:tcPr>
            <w:tcW w:w="4675" w:type="dxa"/>
          </w:tcPr>
          <w:p w14:paraId="54B75C48" w14:textId="77777777" w:rsidR="00DF1DB6" w:rsidRPr="000A6AAD" w:rsidRDefault="00DF1DB6" w:rsidP="00F6270E">
            <w:pPr>
              <w:rPr>
                <w:b/>
              </w:rPr>
            </w:pPr>
          </w:p>
          <w:p w14:paraId="195C1505" w14:textId="77777777" w:rsidR="00DF1DB6" w:rsidRPr="000A6AAD" w:rsidRDefault="00DF1DB6" w:rsidP="00F6270E">
            <w:pPr>
              <w:rPr>
                <w:b/>
              </w:rPr>
            </w:pPr>
            <w:r w:rsidRPr="000A6AAD">
              <w:rPr>
                <w:b/>
              </w:rPr>
              <w:t xml:space="preserve">Case No. </w:t>
            </w:r>
            <w:r w:rsidRPr="00775773">
              <w:rPr>
                <w:b/>
              </w:rPr>
              <w:t>{</w:t>
            </w:r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7C9F12A4" w14:textId="77777777" w:rsidR="00DF1DB6" w:rsidRPr="000A6AAD" w:rsidRDefault="00DF1DB6" w:rsidP="00F6270E">
            <w:pPr>
              <w:rPr>
                <w:b/>
              </w:rPr>
            </w:pPr>
          </w:p>
          <w:p w14:paraId="7D9B15C2" w14:textId="77777777" w:rsidR="00DF1DB6" w:rsidRPr="000A6AAD" w:rsidRDefault="00DF1DB6" w:rsidP="00F6270E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419EC12B" w14:textId="77777777" w:rsidR="00DF1DB6" w:rsidRPr="000A6AAD" w:rsidRDefault="00DF1DB6" w:rsidP="00F6270E">
            <w:pPr>
              <w:rPr>
                <w:b/>
              </w:rPr>
            </w:pPr>
          </w:p>
        </w:tc>
      </w:tr>
    </w:tbl>
    <w:p w14:paraId="19FC2854" w14:textId="5CF8B958" w:rsidR="00C44685" w:rsidRPr="00C44685" w:rsidRDefault="00A80739" w:rsidP="00A80739">
      <w:pPr>
        <w:pStyle w:val="Heading1"/>
      </w:pPr>
      <w:r>
        <w:t xml:space="preserve">Structured Settlement Pursuant to </w:t>
      </w:r>
      <w:r w:rsidR="00FD3395">
        <w:br/>
      </w:r>
      <w:r>
        <w:t>Missouri Supreme Court Operating Rule 17</w:t>
      </w:r>
    </w:p>
    <w:p w14:paraId="3580BFCB" w14:textId="2A533953" w:rsidR="00A80739" w:rsidRDefault="00A80739" w:rsidP="00A80739">
      <w:pPr>
        <w:widowControl w:val="0"/>
        <w:tabs>
          <w:tab w:val="left" w:pos="-1440"/>
          <w:tab w:val="left" w:pos="-720"/>
          <w:tab w:val="left" w:pos="0"/>
          <w:tab w:val="left" w:pos="630"/>
          <w:tab w:val="left" w:pos="1440"/>
          <w:tab w:val="left" w:pos="5040"/>
        </w:tabs>
        <w:spacing w:line="480" w:lineRule="auto"/>
        <w:ind w:firstLine="720"/>
        <w:jc w:val="both"/>
        <w:rPr>
          <w:sz w:val="23"/>
          <w:szCs w:val="23"/>
        </w:rPr>
      </w:pPr>
      <w:r>
        <w:t>CO</w:t>
      </w:r>
      <w:r w:rsidRPr="0062384B">
        <w:t xml:space="preserve">MES NOW, Defendant, by and through counsel of record, Callahan Law Firm, L.L.C., and Plaintiff, through counsel of </w:t>
      </w:r>
      <w:proofErr w:type="gramStart"/>
      <w:r w:rsidRPr="0062384B">
        <w:t>record, {caseOpposingCounsel},</w:t>
      </w:r>
      <w:proofErr w:type="gramEnd"/>
      <w:r w:rsidRPr="0062384B">
        <w:t xml:space="preserve"> and</w:t>
      </w:r>
      <w:r>
        <w:rPr>
          <w:sz w:val="23"/>
          <w:szCs w:val="23"/>
        </w:rPr>
        <w:t xml:space="preserve"> </w:t>
      </w:r>
      <w:r w:rsidR="002F533C">
        <w:rPr>
          <w:sz w:val="23"/>
          <w:szCs w:val="23"/>
        </w:rPr>
        <w:t>stipulate</w:t>
      </w:r>
      <w:r w:rsidRPr="00A80739">
        <w:rPr>
          <w:sz w:val="23"/>
          <w:szCs w:val="23"/>
        </w:rPr>
        <w:t xml:space="preserve"> as follows:</w:t>
      </w:r>
    </w:p>
    <w:p w14:paraId="05C15B2E" w14:textId="77777777" w:rsidR="00A80739" w:rsidRPr="00A80739" w:rsidRDefault="00A80739" w:rsidP="00A80739">
      <w:pPr>
        <w:widowControl w:val="0"/>
        <w:numPr>
          <w:ilvl w:val="0"/>
          <w:numId w:val="2"/>
        </w:numPr>
        <w:tabs>
          <w:tab w:val="left" w:pos="-1440"/>
          <w:tab w:val="left" w:pos="-720"/>
          <w:tab w:val="left" w:pos="0"/>
        </w:tabs>
        <w:spacing w:line="480" w:lineRule="auto"/>
        <w:ind w:left="720"/>
        <w:jc w:val="both"/>
        <w:rPr>
          <w:bCs/>
          <w:color w:val="000000"/>
          <w:szCs w:val="20"/>
        </w:rPr>
      </w:pPr>
      <w:r w:rsidRPr="00A80739">
        <w:t>Defendant agrees to make payments to Plaintiff as follows:</w:t>
      </w:r>
    </w:p>
    <w:p w14:paraId="3324AD7C" w14:textId="1B29C60C" w:rsidR="00A80739" w:rsidRDefault="00A80739" w:rsidP="00A80739">
      <w:pPr>
        <w:widowControl w:val="0"/>
        <w:numPr>
          <w:ilvl w:val="1"/>
          <w:numId w:val="2"/>
        </w:numPr>
        <w:tabs>
          <w:tab w:val="left" w:pos="-1440"/>
          <w:tab w:val="left" w:pos="-720"/>
          <w:tab w:val="left" w:pos="0"/>
        </w:tabs>
        <w:spacing w:line="480" w:lineRule="auto"/>
        <w:ind w:left="1170"/>
        <w:jc w:val="both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 xml:space="preserve">Defendant </w:t>
      </w:r>
      <w:r w:rsidRPr="00A80739">
        <w:rPr>
          <w:bCs/>
          <w:color w:val="000000"/>
          <w:szCs w:val="20"/>
        </w:rPr>
        <w:t>shall pay ${</w:t>
      </w:r>
      <w:proofErr w:type="spellStart"/>
      <w:r w:rsidRPr="00A80739">
        <w:rPr>
          <w:bCs/>
          <w:color w:val="000000"/>
          <w:szCs w:val="20"/>
        </w:rPr>
        <w:t>settlementAmount</w:t>
      </w:r>
      <w:proofErr w:type="spellEnd"/>
      <w:r w:rsidRPr="00A80739">
        <w:rPr>
          <w:bCs/>
          <w:color w:val="000000"/>
          <w:szCs w:val="20"/>
        </w:rPr>
        <w:t>} as settlement in full</w:t>
      </w:r>
      <w:r>
        <w:rPr>
          <w:bCs/>
          <w:color w:val="000000"/>
          <w:szCs w:val="20"/>
        </w:rPr>
        <w:t xml:space="preserve">, </w:t>
      </w:r>
      <w:r w:rsidRPr="00A80739">
        <w:rPr>
          <w:bCs/>
          <w:color w:val="000000"/>
          <w:szCs w:val="20"/>
        </w:rPr>
        <w:t>according to the following stipulation.</w:t>
      </w:r>
      <w:r>
        <w:rPr>
          <w:bCs/>
          <w:color w:val="000000"/>
          <w:szCs w:val="20"/>
        </w:rPr>
        <w:t xml:space="preserve"> </w:t>
      </w:r>
      <w:r w:rsidRPr="00A80739">
        <w:rPr>
          <w:bCs/>
          <w:color w:val="000000"/>
          <w:szCs w:val="20"/>
        </w:rPr>
        <w:t xml:space="preserve"> Defendant shall make {</w:t>
      </w:r>
      <w:proofErr w:type="spellStart"/>
      <w:r w:rsidRPr="00A80739">
        <w:rPr>
          <w:bCs/>
          <w:color w:val="000000"/>
          <w:szCs w:val="20"/>
        </w:rPr>
        <w:t>settlementInstallmentNo</w:t>
      </w:r>
      <w:proofErr w:type="spellEnd"/>
      <w:r w:rsidRPr="00A80739">
        <w:rPr>
          <w:bCs/>
          <w:color w:val="000000"/>
          <w:szCs w:val="20"/>
        </w:rPr>
        <w:t>} monthly payments of ${</w:t>
      </w:r>
      <w:proofErr w:type="spellStart"/>
      <w:r w:rsidRPr="00A80739">
        <w:rPr>
          <w:bCs/>
          <w:color w:val="000000"/>
          <w:szCs w:val="20"/>
        </w:rPr>
        <w:t>settlementInstallmentAmount</w:t>
      </w:r>
      <w:proofErr w:type="spellEnd"/>
      <w:r w:rsidRPr="00A80739">
        <w:rPr>
          <w:bCs/>
          <w:color w:val="000000"/>
          <w:szCs w:val="20"/>
        </w:rPr>
        <w:t>} beginning {</w:t>
      </w:r>
      <w:proofErr w:type="spellStart"/>
      <w:r w:rsidRPr="00A80739">
        <w:rPr>
          <w:bCs/>
          <w:color w:val="000000"/>
          <w:szCs w:val="20"/>
        </w:rPr>
        <w:t>settlementFirstPaymentDate</w:t>
      </w:r>
      <w:proofErr w:type="spellEnd"/>
      <w:r w:rsidRPr="00A80739">
        <w:rPr>
          <w:bCs/>
          <w:color w:val="000000"/>
          <w:szCs w:val="20"/>
        </w:rPr>
        <w:t>} and continuing on the same date of each consecutive month, followed by a final payment of ${</w:t>
      </w:r>
      <w:proofErr w:type="spellStart"/>
      <w:r w:rsidRPr="00A80739">
        <w:rPr>
          <w:bCs/>
          <w:color w:val="000000"/>
          <w:szCs w:val="20"/>
        </w:rPr>
        <w:t>settlementFinalPayment</w:t>
      </w:r>
      <w:proofErr w:type="spellEnd"/>
      <w:r w:rsidRPr="00A80739">
        <w:rPr>
          <w:bCs/>
          <w:color w:val="000000"/>
          <w:szCs w:val="20"/>
        </w:rPr>
        <w:t>} on {</w:t>
      </w:r>
      <w:proofErr w:type="spellStart"/>
      <w:r w:rsidRPr="00A80739">
        <w:rPr>
          <w:bCs/>
          <w:color w:val="000000"/>
          <w:szCs w:val="20"/>
        </w:rPr>
        <w:t>settlementFinalPaymentDate</w:t>
      </w:r>
      <w:proofErr w:type="spellEnd"/>
      <w:r w:rsidRPr="00A80739">
        <w:rPr>
          <w:bCs/>
          <w:color w:val="000000"/>
          <w:szCs w:val="20"/>
        </w:rPr>
        <w:t>} for settlement in full.</w:t>
      </w:r>
    </w:p>
    <w:p w14:paraId="53197598" w14:textId="445A13F6" w:rsidR="00A80739" w:rsidRDefault="00A80739" w:rsidP="00A80739">
      <w:pPr>
        <w:widowControl w:val="0"/>
        <w:numPr>
          <w:ilvl w:val="0"/>
          <w:numId w:val="2"/>
        </w:numPr>
        <w:tabs>
          <w:tab w:val="left" w:pos="-1440"/>
          <w:tab w:val="left" w:pos="-720"/>
          <w:tab w:val="left" w:pos="0"/>
        </w:tabs>
        <w:spacing w:line="480" w:lineRule="auto"/>
        <w:ind w:left="720"/>
        <w:jc w:val="both"/>
        <w:rPr>
          <w:bCs/>
          <w:color w:val="000000"/>
          <w:szCs w:val="20"/>
        </w:rPr>
      </w:pPr>
      <w:r w:rsidRPr="00A80739">
        <w:rPr>
          <w:bCs/>
          <w:color w:val="000000"/>
          <w:szCs w:val="20"/>
        </w:rPr>
        <w:t xml:space="preserve">The Parties agree that this matter shall be </w:t>
      </w:r>
      <w:r w:rsidR="002F533C" w:rsidRPr="002F533C">
        <w:rPr>
          <w:bCs/>
          <w:color w:val="000000"/>
          <w:szCs w:val="20"/>
        </w:rPr>
        <w:t xml:space="preserve">dismissed with prejudice at Plaintiff’s cost upon Defendant’s full compliance with </w:t>
      </w:r>
      <w:r w:rsidR="002F533C">
        <w:rPr>
          <w:bCs/>
          <w:color w:val="000000"/>
          <w:szCs w:val="20"/>
        </w:rPr>
        <w:t xml:space="preserve">the terms of </w:t>
      </w:r>
      <w:r w:rsidR="002F533C" w:rsidRPr="002F533C">
        <w:rPr>
          <w:bCs/>
          <w:color w:val="000000"/>
          <w:szCs w:val="20"/>
        </w:rPr>
        <w:t>paragraph 1</w:t>
      </w:r>
      <w:r w:rsidRPr="00A80739">
        <w:rPr>
          <w:bCs/>
          <w:color w:val="000000"/>
          <w:szCs w:val="20"/>
        </w:rPr>
        <w:t>.</w:t>
      </w:r>
      <w:r w:rsidR="002F533C">
        <w:rPr>
          <w:bCs/>
          <w:color w:val="000000"/>
          <w:szCs w:val="20"/>
        </w:rPr>
        <w:t xml:space="preserve"> </w:t>
      </w:r>
    </w:p>
    <w:p w14:paraId="620C2B1E" w14:textId="7BB72D5F" w:rsidR="00A80739" w:rsidRDefault="00A80739" w:rsidP="00A80739">
      <w:pPr>
        <w:widowControl w:val="0"/>
        <w:numPr>
          <w:ilvl w:val="0"/>
          <w:numId w:val="2"/>
        </w:numPr>
        <w:tabs>
          <w:tab w:val="left" w:pos="-1440"/>
          <w:tab w:val="left" w:pos="-720"/>
          <w:tab w:val="left" w:pos="0"/>
        </w:tabs>
        <w:spacing w:line="480" w:lineRule="auto"/>
        <w:ind w:left="720"/>
        <w:jc w:val="both"/>
        <w:rPr>
          <w:bCs/>
          <w:color w:val="000000"/>
          <w:szCs w:val="20"/>
        </w:rPr>
      </w:pPr>
      <w:r w:rsidRPr="00A80739">
        <w:rPr>
          <w:bCs/>
          <w:color w:val="000000"/>
          <w:szCs w:val="20"/>
        </w:rPr>
        <w:t xml:space="preserve">The Parties further agree that, should Defendant fail to make all payments in strict accordance with paragraph </w:t>
      </w:r>
      <w:r>
        <w:rPr>
          <w:bCs/>
          <w:color w:val="000000"/>
          <w:szCs w:val="20"/>
        </w:rPr>
        <w:t>1</w:t>
      </w:r>
      <w:r w:rsidRPr="00A80739">
        <w:rPr>
          <w:bCs/>
          <w:color w:val="000000"/>
          <w:szCs w:val="20"/>
        </w:rPr>
        <w:t xml:space="preserve">, Defendant consents to the entry of judgment. </w:t>
      </w:r>
      <w:r>
        <w:rPr>
          <w:bCs/>
          <w:color w:val="000000"/>
          <w:szCs w:val="20"/>
        </w:rPr>
        <w:t xml:space="preserve"> </w:t>
      </w:r>
      <w:r w:rsidRPr="00A80739">
        <w:rPr>
          <w:bCs/>
          <w:color w:val="000000"/>
          <w:szCs w:val="20"/>
        </w:rPr>
        <w:t xml:space="preserve">A Consent Judgment is attached hereto as Exhibit ‘A’. </w:t>
      </w:r>
      <w:r>
        <w:rPr>
          <w:bCs/>
          <w:color w:val="000000"/>
          <w:szCs w:val="20"/>
        </w:rPr>
        <w:t xml:space="preserve"> </w:t>
      </w:r>
      <w:r w:rsidRPr="00A80739">
        <w:rPr>
          <w:bCs/>
          <w:color w:val="000000"/>
          <w:szCs w:val="20"/>
        </w:rPr>
        <w:t>Defendant shall receive credit against the Consent Judgment for any verified payments made following execution of this settlement.</w:t>
      </w:r>
    </w:p>
    <w:p w14:paraId="58B4C762" w14:textId="6229E606" w:rsidR="00537148" w:rsidRDefault="00E51A88" w:rsidP="00A80739">
      <w:pPr>
        <w:widowControl w:val="0"/>
        <w:numPr>
          <w:ilvl w:val="0"/>
          <w:numId w:val="2"/>
        </w:numPr>
        <w:tabs>
          <w:tab w:val="left" w:pos="-1440"/>
          <w:tab w:val="left" w:pos="-720"/>
          <w:tab w:val="left" w:pos="0"/>
        </w:tabs>
        <w:spacing w:line="480" w:lineRule="auto"/>
        <w:ind w:left="720"/>
        <w:jc w:val="both"/>
        <w:rPr>
          <w:bCs/>
          <w:color w:val="000000"/>
          <w:szCs w:val="20"/>
        </w:rPr>
      </w:pPr>
      <w:r w:rsidRPr="00E51A88">
        <w:rPr>
          <w:bCs/>
          <w:color w:val="000000"/>
          <w:szCs w:val="20"/>
        </w:rPr>
        <w:t xml:space="preserve">The Parties </w:t>
      </w:r>
      <w:r w:rsidR="002F533C" w:rsidRPr="002F533C">
        <w:rPr>
          <w:bCs/>
          <w:color w:val="000000"/>
          <w:szCs w:val="20"/>
        </w:rPr>
        <w:t xml:space="preserve">acknowledge that under Missouri Supreme Court Operating Rule 17.31, a civil </w:t>
      </w:r>
      <w:r w:rsidR="002F533C" w:rsidRPr="002F533C">
        <w:rPr>
          <w:bCs/>
          <w:color w:val="000000"/>
          <w:szCs w:val="20"/>
        </w:rPr>
        <w:lastRenderedPageBreak/>
        <w:t>case is deemed resolved</w:t>
      </w:r>
      <w:r w:rsidR="002F533C">
        <w:rPr>
          <w:bCs/>
          <w:color w:val="000000"/>
          <w:szCs w:val="20"/>
        </w:rPr>
        <w:t xml:space="preserve"> on </w:t>
      </w:r>
      <w:r w:rsidRPr="00E51A88">
        <w:rPr>
          <w:bCs/>
          <w:color w:val="000000"/>
          <w:szCs w:val="20"/>
        </w:rPr>
        <w:t xml:space="preserve">the date on which a structured settlement is reached. </w:t>
      </w:r>
      <w:r w:rsidR="002F533C">
        <w:rPr>
          <w:bCs/>
          <w:color w:val="000000"/>
          <w:szCs w:val="20"/>
        </w:rPr>
        <w:t xml:space="preserve"> </w:t>
      </w:r>
      <w:r w:rsidR="002F533C" w:rsidRPr="00E51A88">
        <w:rPr>
          <w:bCs/>
          <w:color w:val="000000"/>
          <w:szCs w:val="20"/>
        </w:rPr>
        <w:t xml:space="preserve">Accordingly, the Parties agree that </w:t>
      </w:r>
      <w:r w:rsidR="002F533C" w:rsidRPr="002F533C">
        <w:rPr>
          <w:bCs/>
          <w:color w:val="000000"/>
          <w:szCs w:val="20"/>
        </w:rPr>
        <w:t>case is resolved for Rule 17 purposes as of th</w:t>
      </w:r>
      <w:r w:rsidR="002F533C">
        <w:rPr>
          <w:bCs/>
          <w:color w:val="000000"/>
          <w:szCs w:val="20"/>
        </w:rPr>
        <w:t>e date of this</w:t>
      </w:r>
      <w:r w:rsidR="002F533C" w:rsidRPr="002F533C">
        <w:rPr>
          <w:bCs/>
          <w:color w:val="000000"/>
          <w:szCs w:val="20"/>
        </w:rPr>
        <w:t xml:space="preserve"> Agreement</w:t>
      </w:r>
      <w:r w:rsidR="00AD19E4">
        <w:rPr>
          <w:bCs/>
          <w:color w:val="000000"/>
          <w:szCs w:val="20"/>
        </w:rPr>
        <w:t xml:space="preserve">. </w:t>
      </w:r>
      <w:r w:rsidRPr="00E51A88">
        <w:rPr>
          <w:bCs/>
          <w:color w:val="000000"/>
          <w:szCs w:val="20"/>
        </w:rPr>
        <w:t xml:space="preserve">The Parties further </w:t>
      </w:r>
      <w:r w:rsidR="00AD19E4" w:rsidRPr="00AD19E4">
        <w:rPr>
          <w:bCs/>
          <w:color w:val="000000"/>
          <w:szCs w:val="20"/>
        </w:rPr>
        <w:t xml:space="preserve">submit that </w:t>
      </w:r>
      <w:r w:rsidR="00AD19E4">
        <w:rPr>
          <w:bCs/>
          <w:color w:val="000000"/>
          <w:szCs w:val="20"/>
        </w:rPr>
        <w:t>retaining</w:t>
      </w:r>
      <w:r w:rsidR="00AD19E4" w:rsidRPr="00AD19E4">
        <w:rPr>
          <w:bCs/>
          <w:color w:val="000000"/>
          <w:szCs w:val="20"/>
        </w:rPr>
        <w:t xml:space="preserve"> this case on the active docket does not violate time standards and that it shall remain active until dismissed with prejudice or a Consent Judgment is entered</w:t>
      </w:r>
      <w:r w:rsidR="00AD19E4">
        <w:rPr>
          <w:bCs/>
          <w:color w:val="000000"/>
          <w:szCs w:val="20"/>
        </w:rPr>
        <w:t xml:space="preserve"> </w:t>
      </w:r>
      <w:r w:rsidRPr="00E51A88">
        <w:rPr>
          <w:bCs/>
          <w:color w:val="000000"/>
          <w:szCs w:val="20"/>
        </w:rPr>
        <w:t>pursuant to this Structured Settlement.</w:t>
      </w:r>
    </w:p>
    <w:p w14:paraId="48885B64" w14:textId="706074D2" w:rsidR="00537148" w:rsidRPr="00537148" w:rsidRDefault="00537148" w:rsidP="00537148">
      <w:pPr>
        <w:widowControl w:val="0"/>
        <w:numPr>
          <w:ilvl w:val="0"/>
          <w:numId w:val="2"/>
        </w:numPr>
        <w:tabs>
          <w:tab w:val="left" w:pos="-1440"/>
          <w:tab w:val="left" w:pos="-720"/>
          <w:tab w:val="left" w:pos="0"/>
        </w:tabs>
        <w:spacing w:line="480" w:lineRule="auto"/>
        <w:ind w:left="720"/>
        <w:jc w:val="both"/>
      </w:pPr>
      <w:r w:rsidRPr="00537148">
        <w:rPr>
          <w:bCs/>
          <w:color w:val="000000"/>
          <w:szCs w:val="20"/>
        </w:rPr>
        <w:t>Payments</w:t>
      </w:r>
      <w:r>
        <w:rPr>
          <w:bCs/>
          <w:color w:val="000000"/>
          <w:szCs w:val="20"/>
        </w:rPr>
        <w:t xml:space="preserve"> </w:t>
      </w:r>
      <w:r w:rsidRPr="00537148">
        <w:rPr>
          <w:bCs/>
          <w:color w:val="000000"/>
          <w:szCs w:val="20"/>
        </w:rPr>
        <w:t>shall be made payable to</w:t>
      </w:r>
      <w:r>
        <w:rPr>
          <w:bCs/>
          <w:color w:val="000000"/>
          <w:szCs w:val="20"/>
        </w:rPr>
        <w:t xml:space="preserve"> </w:t>
      </w:r>
      <w:r w:rsidRPr="001130C4">
        <w:t>{</w:t>
      </w:r>
      <w:proofErr w:type="spellStart"/>
      <w:r w:rsidRPr="001130C4">
        <w:t>settlementPayee</w:t>
      </w:r>
      <w:proofErr w:type="spellEnd"/>
      <w:r w:rsidRPr="001130C4">
        <w:t>}</w:t>
      </w:r>
      <w:r>
        <w:t xml:space="preserve"> and mailed to the </w:t>
      </w:r>
      <w:r w:rsidRPr="00C44685">
        <w:rPr>
          <w:sz w:val="23"/>
          <w:szCs w:val="23"/>
        </w:rPr>
        <w:t xml:space="preserve">offices of </w:t>
      </w:r>
      <w:r>
        <w:rPr>
          <w:sz w:val="23"/>
          <w:szCs w:val="23"/>
        </w:rPr>
        <w:t>{</w:t>
      </w:r>
      <w:r w:rsidRPr="00112F3C">
        <w:rPr>
          <w:sz w:val="23"/>
          <w:szCs w:val="23"/>
        </w:rPr>
        <w:t>caseOpposingCounsel</w:t>
      </w:r>
      <w:r>
        <w:rPr>
          <w:sz w:val="23"/>
          <w:szCs w:val="23"/>
        </w:rPr>
        <w:t>} at</w:t>
      </w:r>
      <w:r w:rsidR="001A194C">
        <w:rPr>
          <w:sz w:val="23"/>
          <w:szCs w:val="23"/>
        </w:rPr>
        <w:t>:</w:t>
      </w:r>
      <w:r>
        <w:t xml:space="preserve"> {</w:t>
      </w:r>
      <w:proofErr w:type="gramStart"/>
      <w:r>
        <w:t>caseOCAddressLine1}, {caseOCAddressLine2}.</w:t>
      </w:r>
      <w:proofErr w:type="gramEnd"/>
      <w:r>
        <w:t xml:space="preserve"> </w:t>
      </w:r>
    </w:p>
    <w:p w14:paraId="5FBB5529" w14:textId="4D6A9AA8" w:rsidR="00C471A1" w:rsidRDefault="00537148" w:rsidP="00704265">
      <w:pPr>
        <w:widowControl w:val="0"/>
        <w:numPr>
          <w:ilvl w:val="0"/>
          <w:numId w:val="2"/>
        </w:numPr>
        <w:tabs>
          <w:tab w:val="left" w:pos="-1440"/>
          <w:tab w:val="left" w:pos="-720"/>
          <w:tab w:val="left" w:pos="0"/>
        </w:tabs>
        <w:spacing w:line="480" w:lineRule="auto"/>
        <w:ind w:left="720"/>
        <w:jc w:val="both"/>
        <w:rPr>
          <w:bCs/>
          <w:color w:val="000000"/>
          <w:szCs w:val="20"/>
        </w:rPr>
      </w:pPr>
      <w:r w:rsidRPr="00537148">
        <w:rPr>
          <w:bCs/>
          <w:color w:val="000000"/>
          <w:szCs w:val="20"/>
        </w:rPr>
        <w:t xml:space="preserve">This Structured Settlement shall not be construed as a medical </w:t>
      </w:r>
      <w:proofErr w:type="gramStart"/>
      <w:r w:rsidRPr="00537148">
        <w:rPr>
          <w:bCs/>
          <w:color w:val="000000"/>
          <w:szCs w:val="20"/>
        </w:rPr>
        <w:t>lien</w:t>
      </w:r>
      <w:proofErr w:type="gramEnd"/>
      <w:r w:rsidRPr="00537148">
        <w:rPr>
          <w:bCs/>
          <w:color w:val="000000"/>
          <w:szCs w:val="20"/>
        </w:rPr>
        <w:t xml:space="preserve"> against a workers’ compensation settlement pursuant to §</w:t>
      </w:r>
      <w:r w:rsidR="00F64EC4">
        <w:rPr>
          <w:bCs/>
          <w:color w:val="000000"/>
          <w:szCs w:val="20"/>
        </w:rPr>
        <w:t> </w:t>
      </w:r>
      <w:r w:rsidRPr="00537148">
        <w:rPr>
          <w:bCs/>
          <w:color w:val="000000"/>
          <w:szCs w:val="20"/>
        </w:rPr>
        <w:t>287.260, RSMo, or a personal injury settlement pursuant to §</w:t>
      </w:r>
      <w:r w:rsidR="00F64EC4">
        <w:rPr>
          <w:bCs/>
          <w:color w:val="000000"/>
          <w:szCs w:val="20"/>
        </w:rPr>
        <w:t> </w:t>
      </w:r>
      <w:r w:rsidRPr="00537148">
        <w:rPr>
          <w:bCs/>
          <w:color w:val="000000"/>
          <w:szCs w:val="20"/>
        </w:rPr>
        <w:t xml:space="preserve">430.225, RSMo. </w:t>
      </w:r>
      <w:r>
        <w:rPr>
          <w:bCs/>
          <w:color w:val="000000"/>
          <w:szCs w:val="20"/>
        </w:rPr>
        <w:t xml:space="preserve"> </w:t>
      </w:r>
      <w:r w:rsidRPr="00537148">
        <w:rPr>
          <w:bCs/>
          <w:color w:val="000000"/>
          <w:szCs w:val="20"/>
        </w:rPr>
        <w:t>Rather, this Structured Settlement shall be construed solely as an agreement establishing a schedule of payments and a consent to judgment in the event of breach of its terms.</w:t>
      </w:r>
    </w:p>
    <w:p w14:paraId="54B93885" w14:textId="0BD1DF96" w:rsidR="001A194C" w:rsidRPr="00704265" w:rsidRDefault="001A194C" w:rsidP="001A194C">
      <w:pPr>
        <w:widowControl w:val="0"/>
        <w:tabs>
          <w:tab w:val="left" w:pos="-1440"/>
          <w:tab w:val="left" w:pos="-720"/>
          <w:tab w:val="left" w:pos="0"/>
        </w:tabs>
        <w:spacing w:after="120" w:line="480" w:lineRule="auto"/>
        <w:jc w:val="both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ab/>
      </w:r>
      <w:r w:rsidRPr="001A194C">
        <w:rPr>
          <w:bCs/>
          <w:color w:val="000000"/>
          <w:szCs w:val="20"/>
        </w:rPr>
        <w:t xml:space="preserve">The undersigned counsel </w:t>
      </w:r>
      <w:proofErr w:type="gramStart"/>
      <w:r w:rsidRPr="001A194C">
        <w:rPr>
          <w:bCs/>
          <w:color w:val="000000"/>
          <w:szCs w:val="20"/>
        </w:rPr>
        <w:t>represent</w:t>
      </w:r>
      <w:proofErr w:type="gramEnd"/>
      <w:r>
        <w:rPr>
          <w:bCs/>
          <w:color w:val="000000"/>
          <w:szCs w:val="20"/>
        </w:rPr>
        <w:t xml:space="preserve"> </w:t>
      </w:r>
      <w:r w:rsidRPr="001A194C">
        <w:rPr>
          <w:bCs/>
          <w:color w:val="000000"/>
          <w:szCs w:val="20"/>
        </w:rPr>
        <w:t>that they have authority from their respective clients to enter into this Settlement Agreement, and the undersigned parties agree to be bound by its terms</w:t>
      </w:r>
      <w:r>
        <w:rPr>
          <w:bCs/>
          <w:color w:val="000000"/>
          <w:szCs w:val="20"/>
        </w:rPr>
        <w:t>.</w:t>
      </w: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990"/>
        <w:gridCol w:w="2790"/>
        <w:gridCol w:w="360"/>
        <w:gridCol w:w="1530"/>
      </w:tblGrid>
      <w:tr w:rsidR="009758E8" w:rsidRPr="00C44685" w14:paraId="4FCEF161" w14:textId="77777777" w:rsidTr="00492114">
        <w:trPr>
          <w:trHeight w:val="4392"/>
        </w:trPr>
        <w:tc>
          <w:tcPr>
            <w:tcW w:w="4675" w:type="dxa"/>
            <w:gridSpan w:val="2"/>
          </w:tcPr>
          <w:p w14:paraId="374A434C" w14:textId="29C241F9" w:rsidR="009758E8" w:rsidRPr="00C44685" w:rsidRDefault="009758E8" w:rsidP="00492114">
            <w:pPr>
              <w:spacing w:after="120"/>
              <w:rPr>
                <w:sz w:val="23"/>
                <w:szCs w:val="23"/>
              </w:rPr>
            </w:pPr>
            <w:r w:rsidRPr="00C44685">
              <w:rPr>
                <w:sz w:val="23"/>
                <w:szCs w:val="23"/>
              </w:rPr>
              <w:t>Prepared by:</w:t>
            </w:r>
          </w:p>
          <w:p w14:paraId="37047AC0" w14:textId="272C3CF2" w:rsidR="009758E8" w:rsidRPr="00C44685" w:rsidRDefault="009758E8" w:rsidP="003408CC">
            <w:pPr>
              <w:spacing w:after="240"/>
              <w:rPr>
                <w:sz w:val="23"/>
                <w:szCs w:val="23"/>
              </w:rPr>
            </w:pPr>
            <w:r>
              <w:rPr>
                <w:rFonts w:eastAsia="Arial"/>
                <w:b/>
                <w:smallCaps/>
                <w:szCs w:val="22"/>
              </w:rPr>
              <w:t>Callahan Law Firm, L.L.C.</w:t>
            </w:r>
          </w:p>
          <w:p w14:paraId="20FAD1FE" w14:textId="77777777" w:rsidR="00683928" w:rsidRPr="00DA181C" w:rsidRDefault="009758E8" w:rsidP="00683928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>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 w:rsidR="00683928">
              <w:rPr>
                <w:rFonts w:eastAsia="Arial"/>
                <w:szCs w:val="22"/>
                <w:u w:val="single"/>
              </w:rPr>
              <w:t xml:space="preserve">James R. Crump                                  </w:t>
            </w:r>
            <w:r w:rsidR="00683928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683928">
              <w:rPr>
                <w:rFonts w:eastAsia="Arial"/>
                <w:szCs w:val="22"/>
                <w:u w:val="single"/>
              </w:rPr>
              <w:t xml:space="preserve">      </w:t>
            </w:r>
            <w:r w:rsidR="00683928" w:rsidRPr="00DA181C">
              <w:rPr>
                <w:rFonts w:eastAsia="Arial"/>
                <w:szCs w:val="22"/>
              </w:rPr>
              <w:t xml:space="preserve">              </w:t>
            </w:r>
          </w:p>
          <w:p w14:paraId="5156B578" w14:textId="77777777" w:rsidR="00683928" w:rsidRPr="00DA181C" w:rsidRDefault="00683928" w:rsidP="00683928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JAMES R. CRUMP, MBE # </w:t>
            </w:r>
            <w:r>
              <w:t>65514</w:t>
            </w:r>
          </w:p>
          <w:p w14:paraId="067C9F47" w14:textId="77777777" w:rsidR="00683928" w:rsidRPr="00DA181C" w:rsidRDefault="00683928" w:rsidP="00683928">
            <w:pPr>
              <w:rPr>
                <w:rFonts w:eastAsia="Arial"/>
                <w:szCs w:val="22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  <w:szCs w:val="22"/>
              </w:rPr>
              <w:t>Kansas City, MO 64114</w:t>
            </w:r>
          </w:p>
          <w:p w14:paraId="75F722BC" w14:textId="77777777" w:rsidR="00683928" w:rsidRPr="00DA181C" w:rsidRDefault="00683928" w:rsidP="00683928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 w:rsidRPr="00DA181C">
              <w:t>913-273-1799</w:t>
            </w:r>
          </w:p>
          <w:p w14:paraId="24FC6C20" w14:textId="77777777" w:rsidR="00683928" w:rsidRPr="00DA181C" w:rsidRDefault="00683928" w:rsidP="00683928">
            <w:pPr>
              <w:keepLines/>
            </w:pPr>
            <w:r w:rsidRPr="00DA181C">
              <w:t xml:space="preserve">E-mail: </w:t>
            </w:r>
            <w:r>
              <w:t>james</w:t>
            </w:r>
            <w:r w:rsidRPr="00DA181C">
              <w:t>@callahanlawkc.com</w:t>
            </w:r>
          </w:p>
          <w:p w14:paraId="0A3121C4" w14:textId="02CCDBC6" w:rsidR="009758E8" w:rsidRPr="00C44685" w:rsidRDefault="00683928" w:rsidP="00683928">
            <w:pPr>
              <w:rPr>
                <w:b/>
                <w:sz w:val="23"/>
                <w:szCs w:val="23"/>
              </w:rPr>
            </w:pPr>
            <w:r w:rsidRPr="00DA181C">
              <w:rPr>
                <w:rFonts w:eastAsia="Arial"/>
                <w:b/>
                <w:szCs w:val="22"/>
              </w:rPr>
              <w:t>ATTORNEY FOR DEFENDANT</w:t>
            </w:r>
          </w:p>
        </w:tc>
        <w:tc>
          <w:tcPr>
            <w:tcW w:w="4680" w:type="dxa"/>
            <w:gridSpan w:val="3"/>
          </w:tcPr>
          <w:p w14:paraId="1DF9ED27" w14:textId="75B3E4F1" w:rsidR="009758E8" w:rsidRPr="00C44685" w:rsidRDefault="009758E8" w:rsidP="00492114">
            <w:pPr>
              <w:spacing w:after="120"/>
              <w:rPr>
                <w:sz w:val="23"/>
                <w:szCs w:val="23"/>
              </w:rPr>
            </w:pPr>
            <w:r w:rsidRPr="00C44685">
              <w:rPr>
                <w:sz w:val="23"/>
                <w:szCs w:val="23"/>
              </w:rPr>
              <w:t>Approved &amp; submitted by:</w:t>
            </w:r>
          </w:p>
          <w:p w14:paraId="275FE9C9" w14:textId="435D04A0" w:rsidR="009758E8" w:rsidRPr="00492114" w:rsidRDefault="009758E8" w:rsidP="003408CC">
            <w:pPr>
              <w:spacing w:after="240"/>
              <w:rPr>
                <w:rFonts w:eastAsia="Arial"/>
                <w:b/>
                <w:smallCaps/>
                <w:szCs w:val="22"/>
              </w:rPr>
            </w:pPr>
            <w:r>
              <w:rPr>
                <w:rFonts w:eastAsia="Arial"/>
                <w:b/>
                <w:smallCaps/>
                <w:szCs w:val="22"/>
              </w:rPr>
              <w:t>{caseOpposingCounsel}</w:t>
            </w:r>
          </w:p>
          <w:p w14:paraId="25989312" w14:textId="77777777" w:rsidR="009758E8" w:rsidRPr="00DA181C" w:rsidRDefault="009758E8" w:rsidP="00EC1BF0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 xml:space="preserve"> 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 w:rsidRPr="00596E79">
              <w:rPr>
                <w:rFonts w:eastAsia="Arial"/>
                <w:szCs w:val="22"/>
                <w:highlight w:val="yellow"/>
                <w:u w:val="single"/>
              </w:rPr>
              <w:t>Attorney Name</w:t>
            </w:r>
            <w:r>
              <w:rPr>
                <w:rFonts w:eastAsia="Arial"/>
                <w:szCs w:val="22"/>
                <w:u w:val="single"/>
              </w:rPr>
              <w:t xml:space="preserve">                           </w:t>
            </w:r>
            <w:r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>
              <w:rPr>
                <w:rFonts w:eastAsia="Arial"/>
                <w:szCs w:val="22"/>
                <w:u w:val="single"/>
              </w:rPr>
              <w:t xml:space="preserve">      </w:t>
            </w:r>
            <w:r w:rsidRPr="00DA181C">
              <w:rPr>
                <w:rFonts w:eastAsia="Arial"/>
                <w:szCs w:val="22"/>
              </w:rPr>
              <w:t xml:space="preserve">              </w:t>
            </w:r>
          </w:p>
          <w:p w14:paraId="694EE537" w14:textId="77777777" w:rsidR="009758E8" w:rsidRDefault="009758E8" w:rsidP="00EC1BF0">
            <w:pPr>
              <w:rPr>
                <w:rFonts w:eastAsia="Arial"/>
                <w:szCs w:val="22"/>
              </w:rPr>
            </w:pPr>
            <w:r w:rsidRPr="006E6C3D">
              <w:rPr>
                <w:rFonts w:eastAsia="Arial"/>
                <w:caps/>
                <w:szCs w:val="22"/>
              </w:rPr>
              <w:t>{caseFilingAttorney},</w:t>
            </w:r>
            <w:r w:rsidRPr="00DA181C">
              <w:rPr>
                <w:rFonts w:eastAsia="Arial"/>
                <w:szCs w:val="22"/>
              </w:rPr>
              <w:t xml:space="preserve"> MBE # </w:t>
            </w:r>
            <w:r>
              <w:t>{</w:t>
            </w:r>
            <w:proofErr w:type="spellStart"/>
            <w:r w:rsidRPr="002F0209">
              <w:t>caseAttybarMO</w:t>
            </w:r>
            <w:proofErr w:type="spellEnd"/>
            <w:r>
              <w:t>}</w:t>
            </w:r>
          </w:p>
          <w:p w14:paraId="12BC5A5B" w14:textId="77777777" w:rsidR="009758E8" w:rsidRPr="00DA181C" w:rsidRDefault="009758E8" w:rsidP="00EC1BF0">
            <w:pPr>
              <w:rPr>
                <w:rFonts w:eastAsia="Arial"/>
                <w:szCs w:val="22"/>
              </w:rPr>
            </w:pPr>
            <w:r>
              <w:t>{</w:t>
            </w:r>
            <w:r w:rsidRPr="006E6C3D">
              <w:t>caseAtt</w:t>
            </w:r>
            <w:r>
              <w:t>y</w:t>
            </w:r>
            <w:r w:rsidRPr="006E6C3D">
              <w:t>AddressLine1</w:t>
            </w:r>
            <w:r>
              <w:t>}</w:t>
            </w:r>
            <w:r w:rsidRPr="00DA181C">
              <w:br/>
            </w:r>
            <w:r>
              <w:t>{</w:t>
            </w:r>
            <w:r w:rsidRPr="006E6C3D">
              <w:t>caseAtt</w:t>
            </w:r>
            <w:r>
              <w:t>y</w:t>
            </w:r>
            <w:r w:rsidRPr="006E6C3D">
              <w:t>AddressLine</w:t>
            </w:r>
            <w:r>
              <w:t>2}</w:t>
            </w:r>
          </w:p>
          <w:p w14:paraId="5EE313B2" w14:textId="77777777" w:rsidR="009758E8" w:rsidRPr="00DA181C" w:rsidRDefault="009758E8" w:rsidP="00EC1BF0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</w:t>
            </w:r>
            <w:r>
              <w:t>{</w:t>
            </w:r>
            <w:proofErr w:type="spellStart"/>
            <w:r w:rsidRPr="00596E79">
              <w:t>caseAttyPhone</w:t>
            </w:r>
            <w:proofErr w:type="spellEnd"/>
            <w:r>
              <w:t>}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>
              <w:t>{</w:t>
            </w:r>
            <w:proofErr w:type="spellStart"/>
            <w:r w:rsidRPr="00596E79">
              <w:t>caseAttyFax</w:t>
            </w:r>
            <w:proofErr w:type="spellEnd"/>
            <w:r>
              <w:t>}</w:t>
            </w:r>
          </w:p>
          <w:p w14:paraId="48778E2C" w14:textId="77777777" w:rsidR="009758E8" w:rsidRPr="00DA181C" w:rsidRDefault="009758E8" w:rsidP="00EC1BF0">
            <w:pPr>
              <w:keepLines/>
            </w:pPr>
            <w:r w:rsidRPr="00DA181C">
              <w:t xml:space="preserve">E-mail: </w:t>
            </w:r>
            <w:r>
              <w:t>{</w:t>
            </w:r>
            <w:proofErr w:type="spellStart"/>
            <w:r w:rsidRPr="00596E79">
              <w:t>caseAttyEmail</w:t>
            </w:r>
            <w:proofErr w:type="spellEnd"/>
            <w:r>
              <w:t>}</w:t>
            </w:r>
          </w:p>
          <w:p w14:paraId="2D960727" w14:textId="77777777" w:rsidR="009758E8" w:rsidRDefault="009758E8" w:rsidP="00492114">
            <w:pPr>
              <w:rPr>
                <w:b/>
                <w:szCs w:val="22"/>
              </w:rPr>
            </w:pPr>
            <w:r w:rsidRPr="00DA181C">
              <w:rPr>
                <w:rFonts w:eastAsia="Arial"/>
                <w:b/>
                <w:szCs w:val="22"/>
              </w:rPr>
              <w:t xml:space="preserve">ATTORNEYS FOR </w:t>
            </w:r>
            <w:r>
              <w:rPr>
                <w:rFonts w:eastAsia="Arial"/>
                <w:b/>
                <w:szCs w:val="22"/>
              </w:rPr>
              <w:t>PLAINTIFF</w:t>
            </w:r>
            <w:r w:rsidRPr="00C44685">
              <w:rPr>
                <w:b/>
                <w:szCs w:val="22"/>
              </w:rPr>
              <w:t xml:space="preserve"> </w:t>
            </w:r>
          </w:p>
          <w:p w14:paraId="12227AD5" w14:textId="6F9D1C7C" w:rsidR="009758E8" w:rsidRPr="00C44685" w:rsidRDefault="009758E8" w:rsidP="00492114">
            <w:pPr>
              <w:spacing w:before="240"/>
              <w:rPr>
                <w:b/>
                <w:sz w:val="23"/>
                <w:szCs w:val="23"/>
              </w:rPr>
            </w:pPr>
            <w:r w:rsidRPr="00C44685">
              <w:rPr>
                <w:b/>
                <w:szCs w:val="22"/>
              </w:rPr>
              <w:t>SO ORDERED,</w:t>
            </w:r>
          </w:p>
        </w:tc>
      </w:tr>
      <w:tr w:rsidR="009758E8" w:rsidRPr="00C44685" w14:paraId="395FEA84" w14:textId="77777777" w:rsidTr="00E04E65">
        <w:trPr>
          <w:trHeight w:val="261"/>
        </w:trPr>
        <w:tc>
          <w:tcPr>
            <w:tcW w:w="3685" w:type="dxa"/>
            <w:tcBorders>
              <w:top w:val="single" w:sz="4" w:space="0" w:color="auto"/>
            </w:tcBorders>
          </w:tcPr>
          <w:p w14:paraId="28BD8605" w14:textId="1F993420" w:rsidR="009758E8" w:rsidRPr="00C44685" w:rsidRDefault="00E465AE" w:rsidP="009758E8">
            <w:pPr>
              <w:contextualSpacing/>
              <w:rPr>
                <w:sz w:val="23"/>
                <w:szCs w:val="23"/>
              </w:rPr>
            </w:pPr>
            <w:proofErr w:type="gramStart"/>
            <w:r w:rsidRPr="000431AC">
              <w:rPr>
                <w:b/>
                <w:caps/>
              </w:rPr>
              <w:t>{</w:t>
            </w:r>
            <w:r w:rsidRPr="000431AC">
              <w:rPr>
                <w:b/>
              </w:rPr>
              <w:t>case</w:t>
            </w:r>
            <w:r>
              <w:rPr>
                <w:b/>
              </w:rPr>
              <w:t>D</w:t>
            </w:r>
            <w:r w:rsidRPr="000431AC">
              <w:rPr>
                <w:b/>
              </w:rPr>
              <w:t>efendant</w:t>
            </w:r>
            <w:r w:rsidRPr="000431AC">
              <w:rPr>
                <w:b/>
                <w:caps/>
              </w:rPr>
              <w:t>},</w:t>
            </w:r>
            <w:proofErr w:type="gramEnd"/>
            <w:r>
              <w:rPr>
                <w:b/>
                <w:caps/>
              </w:rPr>
              <w:t xml:space="preserve"> </w:t>
            </w:r>
            <w:r w:rsidR="009758E8" w:rsidRPr="00C44685">
              <w:rPr>
                <w:b/>
                <w:sz w:val="23"/>
                <w:szCs w:val="23"/>
              </w:rPr>
              <w:t>DEFENDANT</w:t>
            </w:r>
          </w:p>
        </w:tc>
        <w:tc>
          <w:tcPr>
            <w:tcW w:w="990" w:type="dxa"/>
          </w:tcPr>
          <w:p w14:paraId="3DD8B97A" w14:textId="592CDA3F" w:rsidR="009758E8" w:rsidRPr="00C44685" w:rsidRDefault="009758E8" w:rsidP="009758E8">
            <w:pPr>
              <w:contextualSpacing/>
              <w:rPr>
                <w:sz w:val="23"/>
                <w:szCs w:val="23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452C8CF2" w14:textId="63CF53F2" w:rsidR="009758E8" w:rsidRPr="00C44685" w:rsidRDefault="009758E8" w:rsidP="00EC1BF0">
            <w:pPr>
              <w:contextual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</w:t>
            </w:r>
            <w:r w:rsidRPr="00C44685">
              <w:rPr>
                <w:b/>
                <w:szCs w:val="22"/>
              </w:rPr>
              <w:t xml:space="preserve">JUDGE </w:t>
            </w:r>
            <w:r w:rsidRPr="00A053F2">
              <w:rPr>
                <w:rStyle w:val="Heading1Char"/>
                <w:u w:val="none"/>
              </w:rPr>
              <w:t>{caseDivisionJudge}</w:t>
            </w:r>
            <w:r w:rsidRPr="00C44685">
              <w:rPr>
                <w:b/>
                <w:szCs w:val="22"/>
              </w:rPr>
              <w:t xml:space="preserve">                              </w:t>
            </w:r>
            <w:r>
              <w:rPr>
                <w:b/>
                <w:szCs w:val="22"/>
              </w:rPr>
              <w:t xml:space="preserve">      </w:t>
            </w:r>
          </w:p>
        </w:tc>
        <w:tc>
          <w:tcPr>
            <w:tcW w:w="360" w:type="dxa"/>
          </w:tcPr>
          <w:p w14:paraId="694A64B4" w14:textId="56CB0285" w:rsidR="009758E8" w:rsidRPr="00C44685" w:rsidRDefault="009758E8" w:rsidP="00EC1BF0">
            <w:pPr>
              <w:contextualSpacing/>
              <w:rPr>
                <w:b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4E193DAD" w14:textId="4B591818" w:rsidR="009758E8" w:rsidRPr="00C44685" w:rsidRDefault="009758E8" w:rsidP="00EC1BF0">
            <w:pPr>
              <w:contextualSpacing/>
              <w:rPr>
                <w:b/>
                <w:szCs w:val="22"/>
              </w:rPr>
            </w:pPr>
            <w:r w:rsidRPr="00C44685">
              <w:rPr>
                <w:b/>
                <w:szCs w:val="22"/>
              </w:rPr>
              <w:t>DATE</w:t>
            </w:r>
          </w:p>
        </w:tc>
      </w:tr>
    </w:tbl>
    <w:p w14:paraId="586C5F6E" w14:textId="77777777" w:rsidR="0068555D" w:rsidRPr="008C308B" w:rsidRDefault="0068555D" w:rsidP="001A194C"/>
    <w:sectPr w:rsidR="0068555D" w:rsidRPr="008C308B" w:rsidSect="00602A97">
      <w:footerReference w:type="default" r:id="rId7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E322F" w14:textId="77777777" w:rsidR="00D372D1" w:rsidRDefault="00D372D1" w:rsidP="00FA1D46">
      <w:r>
        <w:separator/>
      </w:r>
    </w:p>
  </w:endnote>
  <w:endnote w:type="continuationSeparator" w:id="0">
    <w:p w14:paraId="5AE4E1DC" w14:textId="77777777" w:rsidR="00D372D1" w:rsidRDefault="00D372D1" w:rsidP="00FA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E2BD" w14:textId="46778E17" w:rsidR="00FA1D46" w:rsidRPr="00FA1D46" w:rsidRDefault="00FA1D46" w:rsidP="00FA1D46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 w:rsidRPr="00FA1D46"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NUMPAGES  ">
      <w:r w:rsidRPr="00FA1D46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292E0" w14:textId="77777777" w:rsidR="00D372D1" w:rsidRDefault="00D372D1" w:rsidP="00FA1D46">
      <w:r>
        <w:separator/>
      </w:r>
    </w:p>
  </w:footnote>
  <w:footnote w:type="continuationSeparator" w:id="0">
    <w:p w14:paraId="41B46123" w14:textId="77777777" w:rsidR="00D372D1" w:rsidRDefault="00D372D1" w:rsidP="00FA1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37ADD"/>
    <w:multiLevelType w:val="hybridMultilevel"/>
    <w:tmpl w:val="5AEA2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159B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 w16cid:durableId="1151024448">
    <w:abstractNumId w:val="0"/>
  </w:num>
  <w:num w:numId="2" w16cid:durableId="1370839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51"/>
    <w:rsid w:val="00041F06"/>
    <w:rsid w:val="00043C00"/>
    <w:rsid w:val="00045271"/>
    <w:rsid w:val="000615F7"/>
    <w:rsid w:val="00081B9E"/>
    <w:rsid w:val="0009078A"/>
    <w:rsid w:val="000E72EF"/>
    <w:rsid w:val="00112F3C"/>
    <w:rsid w:val="0013028B"/>
    <w:rsid w:val="00134604"/>
    <w:rsid w:val="0014026D"/>
    <w:rsid w:val="001502F2"/>
    <w:rsid w:val="001A194C"/>
    <w:rsid w:val="001C0CA6"/>
    <w:rsid w:val="001F254D"/>
    <w:rsid w:val="00203350"/>
    <w:rsid w:val="00242E53"/>
    <w:rsid w:val="0027038B"/>
    <w:rsid w:val="00291AFF"/>
    <w:rsid w:val="002D1EEC"/>
    <w:rsid w:val="002E703F"/>
    <w:rsid w:val="002F533C"/>
    <w:rsid w:val="003408CC"/>
    <w:rsid w:val="003639DF"/>
    <w:rsid w:val="00390C1A"/>
    <w:rsid w:val="003B0B46"/>
    <w:rsid w:val="003C587D"/>
    <w:rsid w:val="003E227C"/>
    <w:rsid w:val="003F3968"/>
    <w:rsid w:val="004217AB"/>
    <w:rsid w:val="00475E5A"/>
    <w:rsid w:val="00492114"/>
    <w:rsid w:val="004B580D"/>
    <w:rsid w:val="00531057"/>
    <w:rsid w:val="00537148"/>
    <w:rsid w:val="005412D0"/>
    <w:rsid w:val="00557D97"/>
    <w:rsid w:val="005C4AC3"/>
    <w:rsid w:val="005F2AF2"/>
    <w:rsid w:val="00602A97"/>
    <w:rsid w:val="006044BF"/>
    <w:rsid w:val="00611852"/>
    <w:rsid w:val="006400C8"/>
    <w:rsid w:val="0066358C"/>
    <w:rsid w:val="00683928"/>
    <w:rsid w:val="0068555D"/>
    <w:rsid w:val="00695ABB"/>
    <w:rsid w:val="006A1CFD"/>
    <w:rsid w:val="006A422F"/>
    <w:rsid w:val="006B0345"/>
    <w:rsid w:val="006B7D77"/>
    <w:rsid w:val="00704265"/>
    <w:rsid w:val="007110C9"/>
    <w:rsid w:val="00747A44"/>
    <w:rsid w:val="00777D20"/>
    <w:rsid w:val="00783C3C"/>
    <w:rsid w:val="007D0F13"/>
    <w:rsid w:val="0080741F"/>
    <w:rsid w:val="00832451"/>
    <w:rsid w:val="008B098A"/>
    <w:rsid w:val="008B503E"/>
    <w:rsid w:val="008C308B"/>
    <w:rsid w:val="008F2A31"/>
    <w:rsid w:val="00914CF7"/>
    <w:rsid w:val="0092400A"/>
    <w:rsid w:val="00965D6B"/>
    <w:rsid w:val="009758E8"/>
    <w:rsid w:val="009A301F"/>
    <w:rsid w:val="009A6E3D"/>
    <w:rsid w:val="009A7452"/>
    <w:rsid w:val="009B2F5C"/>
    <w:rsid w:val="009F64C9"/>
    <w:rsid w:val="00A20CEE"/>
    <w:rsid w:val="00A525BA"/>
    <w:rsid w:val="00A66A98"/>
    <w:rsid w:val="00A80739"/>
    <w:rsid w:val="00AD19E4"/>
    <w:rsid w:val="00B2070B"/>
    <w:rsid w:val="00B43876"/>
    <w:rsid w:val="00BA4716"/>
    <w:rsid w:val="00BC2328"/>
    <w:rsid w:val="00C02F17"/>
    <w:rsid w:val="00C2033A"/>
    <w:rsid w:val="00C21C3B"/>
    <w:rsid w:val="00C35BF9"/>
    <w:rsid w:val="00C44685"/>
    <w:rsid w:val="00C471A1"/>
    <w:rsid w:val="00C710E8"/>
    <w:rsid w:val="00CC34C8"/>
    <w:rsid w:val="00CD3EB6"/>
    <w:rsid w:val="00CF0E15"/>
    <w:rsid w:val="00D03F3E"/>
    <w:rsid w:val="00D372D1"/>
    <w:rsid w:val="00D45A77"/>
    <w:rsid w:val="00D50F6E"/>
    <w:rsid w:val="00D61B23"/>
    <w:rsid w:val="00D932E9"/>
    <w:rsid w:val="00DA181C"/>
    <w:rsid w:val="00DC709F"/>
    <w:rsid w:val="00DF1DB6"/>
    <w:rsid w:val="00E04E65"/>
    <w:rsid w:val="00E06EB2"/>
    <w:rsid w:val="00E27D80"/>
    <w:rsid w:val="00E32C56"/>
    <w:rsid w:val="00E465AE"/>
    <w:rsid w:val="00E51A88"/>
    <w:rsid w:val="00E86F74"/>
    <w:rsid w:val="00E95047"/>
    <w:rsid w:val="00EC1BF0"/>
    <w:rsid w:val="00F041AF"/>
    <w:rsid w:val="00F40929"/>
    <w:rsid w:val="00F64EC4"/>
    <w:rsid w:val="00FA1D46"/>
    <w:rsid w:val="00FC44EF"/>
    <w:rsid w:val="00FD3395"/>
    <w:rsid w:val="00FD5798"/>
    <w:rsid w:val="00F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240F8"/>
  <w15:chartTrackingRefBased/>
  <w15:docId w15:val="{7D71C987-6912-4645-9400-A7FF3449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709F"/>
    <w:pPr>
      <w:spacing w:before="240" w:after="240"/>
      <w:jc w:val="center"/>
      <w:outlineLvl w:val="0"/>
    </w:pPr>
    <w:rPr>
      <w:b/>
      <w:bCs/>
      <w:cap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4A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C709F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2</Pages>
  <Words>488</Words>
  <Characters>2931</Characters>
  <Application>Microsoft Office Word</Application>
  <DocSecurity>0</DocSecurity>
  <Lines>108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McElwain</dc:creator>
  <cp:keywords/>
  <dc:description/>
  <cp:lastModifiedBy>Sean McElwain</cp:lastModifiedBy>
  <cp:revision>57</cp:revision>
  <dcterms:created xsi:type="dcterms:W3CDTF">2023-04-03T14:39:00Z</dcterms:created>
  <dcterms:modified xsi:type="dcterms:W3CDTF">2026-03-27T20:39:00Z</dcterms:modified>
</cp:coreProperties>
</file>