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DB4F" w14:textId="0A00EB20" w:rsidR="00003639" w:rsidRPr="00245F31" w:rsidRDefault="00003639" w:rsidP="00245F31">
      <w:pPr>
        <w:suppressLineNumbers/>
        <w:jc w:val="center"/>
        <w:rPr>
          <w:b/>
          <w:caps/>
        </w:rPr>
      </w:pPr>
      <w:r w:rsidRPr="00480F37">
        <w:rPr>
          <w:b/>
          <w:caps/>
        </w:rPr>
        <w:t>IN THE {caseDesignation} COURT OF {caseCounty} COUNTY, {caseState}</w:t>
      </w:r>
      <w:r w:rsidRPr="00480F37">
        <w:rPr>
          <w:b/>
          <w:caps/>
        </w:rPr>
        <w:br/>
        <w:t>{caseDivisionDesignation}</w:t>
      </w:r>
    </w:p>
    <w:p w14:paraId="32591FB2" w14:textId="77777777" w:rsidR="00003639" w:rsidRPr="000A6AAD" w:rsidRDefault="00003639" w:rsidP="0000363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003639" w:rsidRPr="000A6AAD" w14:paraId="79DAF0BE" w14:textId="77777777" w:rsidTr="002911BA">
        <w:tc>
          <w:tcPr>
            <w:tcW w:w="4675" w:type="dxa"/>
          </w:tcPr>
          <w:p w14:paraId="2021B9C5" w14:textId="77777777" w:rsidR="00003639" w:rsidRPr="000431AC" w:rsidRDefault="00003639" w:rsidP="002911BA">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8E086B1" w14:textId="77777777" w:rsidR="00003639" w:rsidRPr="000A6AAD" w:rsidRDefault="00003639" w:rsidP="002911BA">
            <w:pPr>
              <w:rPr>
                <w:b/>
              </w:rPr>
            </w:pPr>
            <w:r w:rsidRPr="000A6AAD">
              <w:rPr>
                <w:b/>
              </w:rPr>
              <w:tab/>
            </w:r>
            <w:r w:rsidRPr="000A6AAD">
              <w:rPr>
                <w:b/>
              </w:rPr>
              <w:tab/>
              <w:t>Plaintiff,</w:t>
            </w:r>
            <w:r w:rsidRPr="000A6AAD">
              <w:rPr>
                <w:b/>
              </w:rPr>
              <w:tab/>
            </w:r>
            <w:r w:rsidRPr="000A6AAD">
              <w:rPr>
                <w:b/>
              </w:rPr>
              <w:tab/>
            </w:r>
            <w:r w:rsidRPr="000A6AAD">
              <w:rPr>
                <w:b/>
              </w:rPr>
              <w:tab/>
            </w:r>
          </w:p>
          <w:p w14:paraId="689C231E" w14:textId="77777777" w:rsidR="00003639" w:rsidRPr="000A6AAD" w:rsidRDefault="00003639" w:rsidP="002911BA">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8FC288A" w14:textId="77777777" w:rsidR="00003639" w:rsidRPr="000A6AAD" w:rsidRDefault="00003639"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CAC0C87" w14:textId="77777777" w:rsidR="00003639" w:rsidRPr="000431AC" w:rsidRDefault="00003639" w:rsidP="002911BA">
            <w:pPr>
              <w:rPr>
                <w:b/>
                <w:caps/>
              </w:rPr>
            </w:pPr>
            <w:proofErr w:type="gramStart"/>
            <w:r w:rsidRPr="000431AC">
              <w:rPr>
                <w:b/>
                <w:caps/>
              </w:rPr>
              <w:t>{caseDefendant},</w:t>
            </w:r>
            <w:proofErr w:type="gramEnd"/>
            <w:r w:rsidRPr="000431AC">
              <w:rPr>
                <w:b/>
                <w:caps/>
              </w:rPr>
              <w:tab/>
            </w:r>
            <w:r w:rsidRPr="000431AC">
              <w:rPr>
                <w:b/>
                <w:caps/>
              </w:rPr>
              <w:tab/>
            </w:r>
          </w:p>
          <w:p w14:paraId="3F695B14" w14:textId="77777777" w:rsidR="00003639" w:rsidRPr="000A6AAD" w:rsidRDefault="00003639"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088AA23" w14:textId="79BEC9C3" w:rsidR="00003639" w:rsidRPr="000A6AAD" w:rsidRDefault="00003639" w:rsidP="002911BA">
            <w:pPr>
              <w:rPr>
                <w:b/>
              </w:rPr>
            </w:pPr>
            <w:r w:rsidRPr="000A6AAD">
              <w:rPr>
                <w:b/>
              </w:rPr>
              <w:tab/>
            </w:r>
            <w:r w:rsidRPr="000A6AAD">
              <w:rPr>
                <w:b/>
              </w:rPr>
              <w:tab/>
              <w:t>Defendant.</w:t>
            </w:r>
          </w:p>
        </w:tc>
        <w:tc>
          <w:tcPr>
            <w:tcW w:w="4675" w:type="dxa"/>
          </w:tcPr>
          <w:p w14:paraId="55F3D502" w14:textId="77777777" w:rsidR="00003639" w:rsidRPr="000A6AAD" w:rsidRDefault="00003639" w:rsidP="002911BA">
            <w:pPr>
              <w:rPr>
                <w:b/>
              </w:rPr>
            </w:pPr>
          </w:p>
          <w:p w14:paraId="063F94D5" w14:textId="77777777" w:rsidR="00003639" w:rsidRPr="000A6AAD" w:rsidRDefault="00003639" w:rsidP="002911BA">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503D6075" w14:textId="77777777" w:rsidR="00003639" w:rsidRPr="000A6AAD" w:rsidRDefault="00003639" w:rsidP="002911BA">
            <w:pPr>
              <w:rPr>
                <w:b/>
              </w:rPr>
            </w:pPr>
          </w:p>
          <w:p w14:paraId="5DAA415E" w14:textId="77777777" w:rsidR="00003639" w:rsidRDefault="00003639" w:rsidP="002911BA">
            <w:pPr>
              <w:rPr>
                <w:b/>
              </w:rPr>
            </w:pPr>
            <w:r w:rsidRPr="000A6AAD">
              <w:rPr>
                <w:b/>
              </w:rPr>
              <w:t xml:space="preserve">Division </w:t>
            </w:r>
            <w:r w:rsidRPr="00775773">
              <w:rPr>
                <w:b/>
              </w:rPr>
              <w:t>{</w:t>
            </w:r>
            <w:r w:rsidRPr="00EC5F31">
              <w:rPr>
                <w:b/>
              </w:rPr>
              <w:t>caseDivisionNumber</w:t>
            </w:r>
            <w:r w:rsidRPr="00775773">
              <w:rPr>
                <w:b/>
              </w:rPr>
              <w:t>}</w:t>
            </w:r>
          </w:p>
          <w:p w14:paraId="679A9D52" w14:textId="77777777" w:rsidR="00003639" w:rsidRDefault="00003639" w:rsidP="002911BA">
            <w:pPr>
              <w:rPr>
                <w:b/>
              </w:rPr>
            </w:pPr>
          </w:p>
          <w:p w14:paraId="31923B64" w14:textId="77777777" w:rsidR="00003639" w:rsidRPr="000A6AAD" w:rsidRDefault="00003639" w:rsidP="002911BA">
            <w:pPr>
              <w:rPr>
                <w:b/>
              </w:rPr>
            </w:pPr>
            <w:r>
              <w:rPr>
                <w:b/>
              </w:rPr>
              <w:t>Chapter 61</w:t>
            </w:r>
          </w:p>
          <w:p w14:paraId="51FD34AF" w14:textId="77777777" w:rsidR="00003639" w:rsidRPr="000A6AAD" w:rsidRDefault="00003639" w:rsidP="002911BA">
            <w:pPr>
              <w:rPr>
                <w:b/>
              </w:rPr>
            </w:pPr>
          </w:p>
        </w:tc>
      </w:tr>
    </w:tbl>
    <w:p w14:paraId="0797DE80" w14:textId="2949884D" w:rsidR="00003639" w:rsidRPr="00003639" w:rsidRDefault="00FF1225" w:rsidP="00FF1225">
      <w:pPr>
        <w:pStyle w:val="Heading1"/>
      </w:pPr>
      <w:r w:rsidRPr="00FF1225">
        <w:t xml:space="preserve">DEFENDANT’S RESPONSE IN OPPOSITION TO PLAINTIFF’S </w:t>
      </w:r>
      <w:r>
        <w:br/>
      </w:r>
      <w:r w:rsidRPr="00FF1225">
        <w:t>MOTION FOR SUMMARY JUDGMENT</w:t>
      </w:r>
    </w:p>
    <w:p w14:paraId="650F03D5" w14:textId="4005BC13" w:rsidR="00FA66E1" w:rsidRPr="00FA66E1" w:rsidRDefault="00003639" w:rsidP="00FA66E1">
      <w:pPr>
        <w:widowControl w:val="0"/>
        <w:tabs>
          <w:tab w:val="left" w:pos="-1440"/>
          <w:tab w:val="left" w:pos="-720"/>
          <w:tab w:val="left" w:pos="0"/>
          <w:tab w:val="left" w:pos="630"/>
          <w:tab w:val="left" w:pos="1440"/>
          <w:tab w:val="left" w:pos="5040"/>
        </w:tabs>
        <w:spacing w:line="480" w:lineRule="auto"/>
        <w:ind w:firstLine="720"/>
        <w:jc w:val="both"/>
        <w:rPr>
          <w:bCs/>
          <w:color w:val="000000"/>
          <w:szCs w:val="20"/>
        </w:rPr>
      </w:pPr>
      <w:r>
        <w:t xml:space="preserve">At this </w:t>
      </w:r>
      <w:r w:rsidR="00FF1225">
        <w:t>time</w:t>
      </w:r>
      <w:r w:rsidR="00FF1225" w:rsidRPr="00335FE0">
        <w:t xml:space="preserve">, </w:t>
      </w:r>
      <w:r w:rsidR="00FF1225">
        <w:t xml:space="preserve">Defendant, </w:t>
      </w:r>
      <w:r w:rsidR="00FF1225" w:rsidRPr="002F5C79">
        <w:t>{caseDefendant}</w:t>
      </w:r>
      <w:r w:rsidR="00FF1225">
        <w:t xml:space="preserve">, </w:t>
      </w:r>
      <w:r w:rsidR="00FF1225" w:rsidRPr="00335FE0">
        <w:t xml:space="preserve">by and through counsel of record, Callahan Law Firm, L.L.C., and states the following </w:t>
      </w:r>
      <w:r w:rsidR="00FF1225">
        <w:t>in response to Plaintiff’s Motion for Summary Judgment</w:t>
      </w:r>
      <w:r w:rsidRPr="00C22B53">
        <w:rPr>
          <w:bCs/>
          <w:color w:val="000000"/>
          <w:szCs w:val="20"/>
        </w:rPr>
        <w:t>:</w:t>
      </w:r>
    </w:p>
    <w:p w14:paraId="3887D808" w14:textId="684C0690" w:rsidR="00FF1225" w:rsidRDefault="00FF1225" w:rsidP="00FF1225">
      <w:pPr>
        <w:widowControl w:val="0"/>
        <w:numPr>
          <w:ilvl w:val="0"/>
          <w:numId w:val="1"/>
        </w:numPr>
        <w:tabs>
          <w:tab w:val="left" w:pos="-1440"/>
          <w:tab w:val="left" w:pos="-720"/>
          <w:tab w:val="left" w:pos="0"/>
        </w:tabs>
        <w:spacing w:line="480" w:lineRule="auto"/>
        <w:ind w:left="720"/>
        <w:jc w:val="both"/>
      </w:pPr>
      <w:r w:rsidRPr="00FF1225">
        <w:t xml:space="preserve">Plaintiff filed its Motion for Summary Judgment pursuant to K.S.A. § 60-256(c), alleging that there is no genuine issue as to any material fact and that Plaintiff is entitled to judgment as a matter of law. </w:t>
      </w:r>
      <w:r>
        <w:t xml:space="preserve"> </w:t>
      </w:r>
      <w:r w:rsidRPr="00FF1225">
        <w:t>Defendant disputes this assertion and contends that material facts remain in dispute.</w:t>
      </w:r>
    </w:p>
    <w:p w14:paraId="14B4B09F" w14:textId="70A18741" w:rsidR="00FA66E1" w:rsidRPr="00FC0527" w:rsidRDefault="00FA66E1" w:rsidP="00FA66E1">
      <w:pPr>
        <w:widowControl w:val="0"/>
        <w:tabs>
          <w:tab w:val="left" w:pos="-1440"/>
          <w:tab w:val="left" w:pos="-720"/>
          <w:tab w:val="left" w:pos="0"/>
        </w:tabs>
        <w:spacing w:line="480" w:lineRule="auto"/>
        <w:jc w:val="both"/>
        <w:rPr>
          <w:b/>
          <w:bCs/>
        </w:rPr>
      </w:pPr>
      <w:r w:rsidRPr="00FC0527">
        <w:rPr>
          <w:b/>
          <w:bCs/>
        </w:rPr>
        <w:t xml:space="preserve">Inadvertent Mistake Due Defense Counsel Justifying Leave Under </w:t>
      </w:r>
      <w:r w:rsidRPr="00FC0527">
        <w:rPr>
          <w:b/>
          <w:bCs/>
          <w:noProof/>
          <w:color w:val="000000"/>
          <w:szCs w:val="20"/>
        </w:rPr>
        <w:t>§ 61-3101(d)</w:t>
      </w:r>
    </w:p>
    <w:p w14:paraId="2F7E22A6" w14:textId="37C20606" w:rsidR="004B3416" w:rsidRDefault="00FF1225" w:rsidP="003D5833">
      <w:pPr>
        <w:widowControl w:val="0"/>
        <w:numPr>
          <w:ilvl w:val="0"/>
          <w:numId w:val="1"/>
        </w:numPr>
        <w:tabs>
          <w:tab w:val="left" w:pos="-1440"/>
          <w:tab w:val="left" w:pos="-720"/>
          <w:tab w:val="left" w:pos="0"/>
        </w:tabs>
        <w:spacing w:line="480" w:lineRule="auto"/>
        <w:ind w:left="720"/>
        <w:jc w:val="both"/>
        <w:rPr>
          <w:bCs/>
          <w:color w:val="000000"/>
          <w:szCs w:val="20"/>
        </w:rPr>
      </w:pPr>
      <w:r w:rsidRPr="00FF1225">
        <w:rPr>
          <w:bCs/>
          <w:color w:val="000000"/>
          <w:szCs w:val="20"/>
        </w:rPr>
        <w:t>Defendant</w:t>
      </w:r>
      <w:r>
        <w:rPr>
          <w:bCs/>
          <w:color w:val="000000"/>
          <w:szCs w:val="20"/>
        </w:rPr>
        <w:t>’s counsel</w:t>
      </w:r>
      <w:r w:rsidRPr="00FF1225">
        <w:rPr>
          <w:bCs/>
          <w:color w:val="000000"/>
          <w:szCs w:val="20"/>
        </w:rPr>
        <w:t xml:space="preserve"> prepared responses to Plaintiff’s First Request for Admissions but </w:t>
      </w:r>
      <w:r w:rsidR="00FA66E1">
        <w:rPr>
          <w:bCs/>
          <w:color w:val="000000"/>
          <w:szCs w:val="20"/>
        </w:rPr>
        <w:t xml:space="preserve">undersigned </w:t>
      </w:r>
      <w:r>
        <w:rPr>
          <w:bCs/>
          <w:color w:val="000000"/>
          <w:szCs w:val="20"/>
        </w:rPr>
        <w:t xml:space="preserve">counsel, </w:t>
      </w:r>
      <w:r w:rsidR="005878FE" w:rsidRPr="005878FE">
        <w:rPr>
          <w:bCs/>
          <w:color w:val="000000"/>
          <w:szCs w:val="20"/>
          <w:highlight w:val="yellow"/>
        </w:rPr>
        <w:t>COUNSEL NAME</w:t>
      </w:r>
      <w:r>
        <w:rPr>
          <w:bCs/>
          <w:color w:val="000000"/>
          <w:szCs w:val="20"/>
        </w:rPr>
        <w:t xml:space="preserve">, </w:t>
      </w:r>
      <w:r w:rsidRPr="00FF1225">
        <w:rPr>
          <w:bCs/>
          <w:color w:val="000000"/>
          <w:szCs w:val="20"/>
        </w:rPr>
        <w:t>inadvertently failed to send them</w:t>
      </w:r>
      <w:r w:rsidR="004B3416">
        <w:rPr>
          <w:bCs/>
          <w:color w:val="000000"/>
          <w:szCs w:val="20"/>
        </w:rPr>
        <w:t xml:space="preserve"> before the due date and did not discover the error until after the responses were already late</w:t>
      </w:r>
      <w:r w:rsidRPr="00FF1225">
        <w:rPr>
          <w:bCs/>
          <w:color w:val="000000"/>
          <w:szCs w:val="20"/>
        </w:rPr>
        <w:t>.</w:t>
      </w:r>
      <w:r w:rsidR="004B3416">
        <w:rPr>
          <w:bCs/>
          <w:color w:val="000000"/>
          <w:szCs w:val="20"/>
        </w:rPr>
        <w:t xml:space="preserve"> </w:t>
      </w:r>
      <w:r w:rsidRPr="00FF1225">
        <w:rPr>
          <w:bCs/>
          <w:color w:val="000000"/>
          <w:szCs w:val="20"/>
        </w:rPr>
        <w:t xml:space="preserve"> </w:t>
      </w:r>
      <w:r w:rsidR="004B3416">
        <w:rPr>
          <w:bCs/>
          <w:color w:val="000000"/>
          <w:szCs w:val="20"/>
        </w:rPr>
        <w:t xml:space="preserve">Defendant’s counsel served responses on February 13, 2025, and filed a Certificate of Service with this Court. </w:t>
      </w:r>
    </w:p>
    <w:p w14:paraId="00B77D0E" w14:textId="0F6EFA1F" w:rsidR="00560501" w:rsidRPr="003D5833" w:rsidRDefault="00FF1225" w:rsidP="003D5833">
      <w:pPr>
        <w:widowControl w:val="0"/>
        <w:numPr>
          <w:ilvl w:val="0"/>
          <w:numId w:val="1"/>
        </w:numPr>
        <w:tabs>
          <w:tab w:val="left" w:pos="-1440"/>
          <w:tab w:val="left" w:pos="-720"/>
          <w:tab w:val="left" w:pos="0"/>
        </w:tabs>
        <w:spacing w:line="480" w:lineRule="auto"/>
        <w:ind w:left="720"/>
        <w:jc w:val="both"/>
        <w:rPr>
          <w:bCs/>
          <w:color w:val="000000"/>
          <w:szCs w:val="20"/>
        </w:rPr>
      </w:pPr>
      <w:r w:rsidRPr="00FF1225">
        <w:rPr>
          <w:bCs/>
          <w:color w:val="000000"/>
          <w:szCs w:val="20"/>
        </w:rPr>
        <w:t>Failure to submit responses should not serve as a basis for granting summary judgment, as this would unfairly resolve the case on a procedural technicality rather than the substantive merits.</w:t>
      </w:r>
    </w:p>
    <w:p w14:paraId="668EFD37" w14:textId="77777777" w:rsidR="00B0645C" w:rsidRDefault="004B3416" w:rsidP="0066018B">
      <w:pPr>
        <w:widowControl w:val="0"/>
        <w:numPr>
          <w:ilvl w:val="0"/>
          <w:numId w:val="1"/>
        </w:numPr>
        <w:tabs>
          <w:tab w:val="left" w:pos="-1440"/>
          <w:tab w:val="left" w:pos="-720"/>
          <w:tab w:val="left" w:pos="0"/>
        </w:tabs>
        <w:spacing w:line="480" w:lineRule="auto"/>
        <w:ind w:left="720"/>
        <w:jc w:val="both"/>
        <w:rPr>
          <w:bCs/>
          <w:color w:val="000000"/>
          <w:szCs w:val="20"/>
        </w:rPr>
      </w:pPr>
      <w:r w:rsidRPr="004B3416">
        <w:rPr>
          <w:bCs/>
          <w:noProof/>
          <w:color w:val="000000"/>
          <w:szCs w:val="20"/>
        </w:rPr>
        <w:t xml:space="preserve">Under K.S.A. § 61-3101(d), </w:t>
      </w:r>
      <w:r>
        <w:rPr>
          <w:bCs/>
          <w:noProof/>
          <w:color w:val="000000"/>
          <w:szCs w:val="20"/>
        </w:rPr>
        <w:t xml:space="preserve">this Court has the discretion to </w:t>
      </w:r>
      <w:r w:rsidR="00B0645C">
        <w:rPr>
          <w:bCs/>
          <w:noProof/>
          <w:color w:val="000000"/>
          <w:szCs w:val="20"/>
        </w:rPr>
        <w:t xml:space="preserve">allow </w:t>
      </w:r>
      <w:r w:rsidRPr="004B3416">
        <w:rPr>
          <w:bCs/>
          <w:noProof/>
          <w:color w:val="000000"/>
          <w:szCs w:val="20"/>
        </w:rPr>
        <w:t xml:space="preserve">Defendant </w:t>
      </w:r>
      <w:r w:rsidR="00B0645C">
        <w:rPr>
          <w:bCs/>
          <w:noProof/>
          <w:color w:val="000000"/>
          <w:szCs w:val="20"/>
        </w:rPr>
        <w:t xml:space="preserve">leave to </w:t>
      </w:r>
      <w:r w:rsidR="00B0645C">
        <w:rPr>
          <w:bCs/>
          <w:noProof/>
          <w:color w:val="000000"/>
          <w:szCs w:val="20"/>
        </w:rPr>
        <w:lastRenderedPageBreak/>
        <w:t xml:space="preserve">respond out of time </w:t>
      </w:r>
      <w:r w:rsidR="00B0645C" w:rsidRPr="00B0645C">
        <w:rPr>
          <w:bCs/>
          <w:noProof/>
          <w:color w:val="000000"/>
          <w:szCs w:val="20"/>
        </w:rPr>
        <w:t xml:space="preserve">upon a showing of good cause and if doing so does not unfairly prejudice the Plaintiff. </w:t>
      </w:r>
    </w:p>
    <w:p w14:paraId="30214732" w14:textId="2D107A38" w:rsidR="00B0645C" w:rsidRDefault="00B0645C" w:rsidP="0066018B">
      <w:pPr>
        <w:widowControl w:val="0"/>
        <w:numPr>
          <w:ilvl w:val="0"/>
          <w:numId w:val="1"/>
        </w:numPr>
        <w:tabs>
          <w:tab w:val="left" w:pos="-1440"/>
          <w:tab w:val="left" w:pos="-720"/>
          <w:tab w:val="left" w:pos="0"/>
        </w:tabs>
        <w:spacing w:line="480" w:lineRule="auto"/>
        <w:ind w:left="720"/>
        <w:jc w:val="both"/>
        <w:rPr>
          <w:bCs/>
          <w:color w:val="000000"/>
          <w:szCs w:val="20"/>
        </w:rPr>
      </w:pPr>
      <w:r w:rsidRPr="00B0645C">
        <w:rPr>
          <w:bCs/>
          <w:noProof/>
          <w:color w:val="000000"/>
          <w:szCs w:val="20"/>
        </w:rPr>
        <w:t xml:space="preserve">Defendant has acted in good faith, and the inadvertent delay in submitting responses </w:t>
      </w:r>
      <w:r>
        <w:rPr>
          <w:bCs/>
          <w:noProof/>
          <w:color w:val="000000"/>
          <w:szCs w:val="20"/>
        </w:rPr>
        <w:t xml:space="preserve">by counsel </w:t>
      </w:r>
      <w:r w:rsidRPr="00B0645C">
        <w:rPr>
          <w:bCs/>
          <w:noProof/>
          <w:color w:val="000000"/>
          <w:szCs w:val="20"/>
        </w:rPr>
        <w:t>does not justify a summary judgment ruling that would otherwise deny Defendant the opportunity to contest the allegations</w:t>
      </w:r>
      <w:r>
        <w:rPr>
          <w:bCs/>
          <w:noProof/>
          <w:color w:val="000000"/>
          <w:szCs w:val="20"/>
        </w:rPr>
        <w:t xml:space="preserve"> in Plaintiff’s Petiton. </w:t>
      </w:r>
    </w:p>
    <w:p w14:paraId="3B49B2CC" w14:textId="028F4ED4" w:rsidR="00FA66E1" w:rsidRPr="00FA66E1" w:rsidRDefault="00FA66E1" w:rsidP="00FA66E1">
      <w:pPr>
        <w:widowControl w:val="0"/>
        <w:numPr>
          <w:ilvl w:val="0"/>
          <w:numId w:val="1"/>
        </w:numPr>
        <w:tabs>
          <w:tab w:val="left" w:pos="-1440"/>
          <w:tab w:val="left" w:pos="-720"/>
          <w:tab w:val="left" w:pos="0"/>
        </w:tabs>
        <w:spacing w:line="480" w:lineRule="auto"/>
        <w:ind w:left="720"/>
        <w:jc w:val="both"/>
        <w:rPr>
          <w:bCs/>
          <w:color w:val="000000"/>
          <w:u w:val="single"/>
        </w:rPr>
      </w:pPr>
      <w:r>
        <w:rPr>
          <w:bCs/>
          <w:noProof/>
          <w:color w:val="000000"/>
          <w:szCs w:val="20"/>
        </w:rPr>
        <w:t xml:space="preserve">Plaintiff’s Counsel further misunderstands the </w:t>
      </w:r>
      <w:r w:rsidRPr="004C4958">
        <w:rPr>
          <w:bCs/>
          <w:noProof/>
          <w:color w:val="000000"/>
          <w:szCs w:val="20"/>
        </w:rPr>
        <w:t>prejudice in the context of withdrawal or amendment of admissions must be more than a party losing the benefit of an easy</w:t>
      </w:r>
      <w:r>
        <w:rPr>
          <w:bCs/>
          <w:noProof/>
          <w:color w:val="000000"/>
          <w:szCs w:val="20"/>
        </w:rPr>
        <w:t xml:space="preserve"> route to a substanive judgment on a procedural technicality</w:t>
      </w:r>
      <w:r w:rsidRPr="004C4958">
        <w:rPr>
          <w:bCs/>
          <w:noProof/>
          <w:color w:val="000000"/>
          <w:szCs w:val="20"/>
        </w:rPr>
        <w:t>. Prejudice occurs when allowing withdrawal would materially affect the opposing party’s ability to present their case, such as by destroying evidence, altering witness availability, or significantly impairing trial preparation.</w:t>
      </w:r>
      <w:r>
        <w:rPr>
          <w:bCs/>
          <w:noProof/>
          <w:color w:val="000000"/>
          <w:szCs w:val="20"/>
        </w:rPr>
        <w:t xml:space="preserve">  </w:t>
      </w:r>
      <w:r w:rsidRPr="004C4958">
        <w:rPr>
          <w:bCs/>
          <w:noProof/>
          <w:color w:val="000000"/>
          <w:szCs w:val="20"/>
        </w:rPr>
        <w:t xml:space="preserve">Plaintiff </w:t>
      </w:r>
      <w:r>
        <w:rPr>
          <w:bCs/>
          <w:noProof/>
          <w:color w:val="000000"/>
          <w:szCs w:val="20"/>
        </w:rPr>
        <w:t>makes no</w:t>
      </w:r>
      <w:r w:rsidRPr="004C4958">
        <w:rPr>
          <w:bCs/>
          <w:noProof/>
          <w:color w:val="000000"/>
          <w:szCs w:val="20"/>
        </w:rPr>
        <w:t xml:space="preserve"> claim that it has lost evidence, that witnesses have become unavailable, or that its ability to prove its claims has been substantively impaired. </w:t>
      </w:r>
      <w:r>
        <w:rPr>
          <w:bCs/>
          <w:noProof/>
          <w:color w:val="000000"/>
          <w:szCs w:val="20"/>
        </w:rPr>
        <w:t xml:space="preserve"> </w:t>
      </w:r>
      <w:r w:rsidRPr="004C4958">
        <w:rPr>
          <w:bCs/>
          <w:noProof/>
          <w:color w:val="000000"/>
          <w:szCs w:val="20"/>
        </w:rPr>
        <w:t xml:space="preserve">Rather, Plaintiff only asserts that it would be inconvenienced by having to continue litigating the case on the merits instead of obtaining an </w:t>
      </w:r>
      <w:r>
        <w:rPr>
          <w:bCs/>
          <w:noProof/>
          <w:color w:val="000000"/>
          <w:szCs w:val="20"/>
        </w:rPr>
        <w:t>easy</w:t>
      </w:r>
      <w:r w:rsidRPr="004C4958">
        <w:rPr>
          <w:bCs/>
          <w:noProof/>
          <w:color w:val="000000"/>
          <w:szCs w:val="20"/>
        </w:rPr>
        <w:t xml:space="preserve"> judgment. Inconvenience is not legal prejudice.</w:t>
      </w:r>
    </w:p>
    <w:p w14:paraId="63434715" w14:textId="1E21F746" w:rsidR="00FA66E1" w:rsidRDefault="00FA66E1" w:rsidP="0066018B">
      <w:pPr>
        <w:widowControl w:val="0"/>
        <w:numPr>
          <w:ilvl w:val="0"/>
          <w:numId w:val="1"/>
        </w:numPr>
        <w:tabs>
          <w:tab w:val="left" w:pos="-1440"/>
          <w:tab w:val="left" w:pos="-720"/>
          <w:tab w:val="left" w:pos="0"/>
        </w:tabs>
        <w:spacing w:line="480" w:lineRule="auto"/>
        <w:ind w:left="720"/>
        <w:jc w:val="both"/>
        <w:rPr>
          <w:bCs/>
          <w:color w:val="000000"/>
          <w:szCs w:val="20"/>
        </w:rPr>
      </w:pPr>
      <w:r>
        <w:rPr>
          <w:bCs/>
          <w:noProof/>
          <w:color w:val="000000"/>
          <w:szCs w:val="20"/>
        </w:rPr>
        <w:t xml:space="preserve">Defendant </w:t>
      </w:r>
      <w:r w:rsidRPr="004B3416">
        <w:rPr>
          <w:bCs/>
          <w:noProof/>
          <w:color w:val="000000"/>
          <w:szCs w:val="20"/>
        </w:rPr>
        <w:t>requests leave of the Court to</w:t>
      </w:r>
      <w:r>
        <w:rPr>
          <w:bCs/>
          <w:noProof/>
          <w:color w:val="000000"/>
          <w:szCs w:val="20"/>
        </w:rPr>
        <w:t xml:space="preserve"> respond to Defendant’s Request for Admission out time, and further that the responses sent to Plainitff’s counsel on February 13, 2025 be deemed timely. </w:t>
      </w:r>
    </w:p>
    <w:p w14:paraId="553AA615" w14:textId="4783668E" w:rsidR="00FA66E1" w:rsidRDefault="00FA66E1" w:rsidP="00FA66E1">
      <w:pPr>
        <w:widowControl w:val="0"/>
        <w:tabs>
          <w:tab w:val="left" w:pos="-1440"/>
          <w:tab w:val="left" w:pos="-720"/>
          <w:tab w:val="left" w:pos="0"/>
        </w:tabs>
        <w:spacing w:line="480" w:lineRule="auto"/>
        <w:jc w:val="both"/>
        <w:rPr>
          <w:b/>
          <w:noProof/>
          <w:color w:val="000000"/>
          <w:szCs w:val="20"/>
        </w:rPr>
      </w:pPr>
      <w:r w:rsidRPr="00FC0527">
        <w:rPr>
          <w:b/>
          <w:noProof/>
          <w:color w:val="000000"/>
          <w:szCs w:val="20"/>
        </w:rPr>
        <w:t xml:space="preserve">Plaintiff’s Purported Lack of Material </w:t>
      </w:r>
      <w:r w:rsidR="00FC0527" w:rsidRPr="00FC0527">
        <w:rPr>
          <w:b/>
          <w:noProof/>
          <w:color w:val="000000"/>
          <w:szCs w:val="20"/>
        </w:rPr>
        <w:t xml:space="preserve">Facts in </w:t>
      </w:r>
      <w:r w:rsidRPr="00FC0527">
        <w:rPr>
          <w:b/>
          <w:noProof/>
          <w:color w:val="000000"/>
          <w:szCs w:val="20"/>
        </w:rPr>
        <w:t xml:space="preserve">Dispute is Legally Insufficent </w:t>
      </w:r>
    </w:p>
    <w:p w14:paraId="1C778B7E" w14:textId="0D722E56" w:rsidR="00FC0527" w:rsidRPr="00FC0527" w:rsidRDefault="00FC0527" w:rsidP="00FC0527">
      <w:pPr>
        <w:widowControl w:val="0"/>
        <w:tabs>
          <w:tab w:val="left" w:pos="-1440"/>
          <w:tab w:val="left" w:pos="-720"/>
          <w:tab w:val="left" w:pos="360"/>
        </w:tabs>
        <w:spacing w:line="480" w:lineRule="auto"/>
        <w:jc w:val="both"/>
        <w:rPr>
          <w:b/>
          <w:i/>
          <w:iCs/>
          <w:color w:val="000000"/>
          <w:szCs w:val="20"/>
        </w:rPr>
      </w:pPr>
      <w:r>
        <w:rPr>
          <w:b/>
          <w:noProof/>
          <w:color w:val="000000"/>
          <w:szCs w:val="20"/>
        </w:rPr>
        <w:tab/>
      </w:r>
      <w:r w:rsidRPr="00FC0527">
        <w:rPr>
          <w:b/>
          <w:i/>
          <w:iCs/>
          <w:noProof/>
          <w:color w:val="000000"/>
          <w:szCs w:val="20"/>
        </w:rPr>
        <w:t>Standing to Sue</w:t>
      </w:r>
    </w:p>
    <w:p w14:paraId="532FED38" w14:textId="77777777" w:rsidR="00FA66E1" w:rsidRDefault="00B0645C" w:rsidP="00FA66E1">
      <w:pPr>
        <w:widowControl w:val="0"/>
        <w:numPr>
          <w:ilvl w:val="0"/>
          <w:numId w:val="1"/>
        </w:numPr>
        <w:tabs>
          <w:tab w:val="left" w:pos="-1440"/>
          <w:tab w:val="left" w:pos="-720"/>
          <w:tab w:val="left" w:pos="0"/>
        </w:tabs>
        <w:spacing w:line="480" w:lineRule="auto"/>
        <w:ind w:left="720"/>
        <w:jc w:val="both"/>
        <w:rPr>
          <w:bCs/>
          <w:color w:val="000000"/>
          <w:szCs w:val="20"/>
        </w:rPr>
      </w:pPr>
      <w:r w:rsidRPr="00B0645C">
        <w:rPr>
          <w:bCs/>
          <w:color w:val="000000"/>
          <w:szCs w:val="20"/>
        </w:rPr>
        <w:t xml:space="preserve">Plaintiff has failed to establish standing to bring this lawsuit. Plaintiff </w:t>
      </w:r>
      <w:r>
        <w:rPr>
          <w:bCs/>
          <w:color w:val="000000"/>
          <w:szCs w:val="20"/>
        </w:rPr>
        <w:t xml:space="preserve">claims to be an assignee of a deficiency debt obligation on </w:t>
      </w:r>
      <w:r w:rsidR="00C0592F">
        <w:rPr>
          <w:bCs/>
          <w:color w:val="000000"/>
          <w:szCs w:val="20"/>
        </w:rPr>
        <w:t>a</w:t>
      </w:r>
      <w:r>
        <w:rPr>
          <w:bCs/>
          <w:color w:val="000000"/>
          <w:szCs w:val="20"/>
        </w:rPr>
        <w:t xml:space="preserve"> Note originated with, and repossessed by, Santander Consumer USA</w:t>
      </w:r>
      <w:r w:rsidR="00C0592F">
        <w:rPr>
          <w:bCs/>
          <w:color w:val="000000"/>
          <w:szCs w:val="20"/>
        </w:rPr>
        <w:t xml:space="preserve"> Inc., but</w:t>
      </w:r>
      <w:r>
        <w:rPr>
          <w:bCs/>
          <w:color w:val="000000"/>
          <w:szCs w:val="20"/>
        </w:rPr>
        <w:t xml:space="preserve"> </w:t>
      </w:r>
      <w:r w:rsidRPr="00B0645C">
        <w:rPr>
          <w:bCs/>
          <w:color w:val="000000"/>
          <w:szCs w:val="20"/>
        </w:rPr>
        <w:t xml:space="preserve">has not provided sufficient proof of assignment or a </w:t>
      </w:r>
      <w:r w:rsidRPr="00B0645C">
        <w:rPr>
          <w:bCs/>
          <w:color w:val="000000"/>
          <w:szCs w:val="20"/>
        </w:rPr>
        <w:lastRenderedPageBreak/>
        <w:t xml:space="preserve">valid chain of title demonstrating ownership of the alleged debt. </w:t>
      </w:r>
      <w:r w:rsidR="00CF614E">
        <w:rPr>
          <w:bCs/>
          <w:color w:val="000000"/>
          <w:szCs w:val="20"/>
        </w:rPr>
        <w:t>Plaintiff instead alleges an admission stating “</w:t>
      </w:r>
      <w:r w:rsidR="00CF614E" w:rsidRPr="00C0592F">
        <w:rPr>
          <w:bCs/>
          <w:color w:val="000000"/>
          <w:szCs w:val="20"/>
        </w:rPr>
        <w:t>Plaintiff is the true owner of the account ending in XXXXXXXXXXXXX1000</w:t>
      </w:r>
      <w:r w:rsidR="00CF614E">
        <w:rPr>
          <w:bCs/>
          <w:color w:val="000000"/>
          <w:szCs w:val="20"/>
        </w:rPr>
        <w:t xml:space="preserve">” without any reference to identify the original creditor or the </w:t>
      </w:r>
      <w:proofErr w:type="gramStart"/>
      <w:r w:rsidR="00CF614E">
        <w:rPr>
          <w:bCs/>
          <w:color w:val="000000"/>
          <w:szCs w:val="20"/>
        </w:rPr>
        <w:t>goods</w:t>
      </w:r>
      <w:proofErr w:type="gramEnd"/>
      <w:r w:rsidR="00CF614E">
        <w:rPr>
          <w:bCs/>
          <w:color w:val="000000"/>
          <w:szCs w:val="20"/>
        </w:rPr>
        <w:t xml:space="preserve"> of the subject contract is sufficient for this court to find that the Plaintiff both has standing to </w:t>
      </w:r>
      <w:proofErr w:type="gramStart"/>
      <w:r w:rsidR="00CF614E">
        <w:rPr>
          <w:bCs/>
          <w:color w:val="000000"/>
          <w:szCs w:val="20"/>
        </w:rPr>
        <w:t>sue, and</w:t>
      </w:r>
      <w:proofErr w:type="gramEnd"/>
      <w:r w:rsidR="00CF614E">
        <w:rPr>
          <w:bCs/>
          <w:color w:val="000000"/>
          <w:szCs w:val="20"/>
        </w:rPr>
        <w:t xml:space="preserve"> is a valid holder of a debt obligation on a purported Note. </w:t>
      </w:r>
      <w:r w:rsidRPr="00B0645C">
        <w:rPr>
          <w:bCs/>
          <w:color w:val="000000"/>
          <w:szCs w:val="20"/>
        </w:rPr>
        <w:t>Without such evidence,</w:t>
      </w:r>
      <w:r w:rsidR="00C0592F">
        <w:rPr>
          <w:bCs/>
          <w:color w:val="000000"/>
          <w:szCs w:val="20"/>
        </w:rPr>
        <w:t xml:space="preserve"> </w:t>
      </w:r>
      <w:r w:rsidRPr="00B0645C">
        <w:rPr>
          <w:bCs/>
          <w:color w:val="000000"/>
          <w:szCs w:val="20"/>
        </w:rPr>
        <w:t>Plaintiff is not entitled to summary judgment.</w:t>
      </w:r>
      <w:r w:rsidR="00CF614E">
        <w:rPr>
          <w:bCs/>
          <w:color w:val="000000"/>
          <w:szCs w:val="20"/>
        </w:rPr>
        <w:t xml:space="preserve">  </w:t>
      </w:r>
    </w:p>
    <w:p w14:paraId="1AE9BFF1" w14:textId="53B9D761" w:rsidR="00FC0527" w:rsidRPr="00FC0527" w:rsidRDefault="00FC0527" w:rsidP="00FC0527">
      <w:pPr>
        <w:widowControl w:val="0"/>
        <w:tabs>
          <w:tab w:val="left" w:pos="-1440"/>
          <w:tab w:val="left" w:pos="-720"/>
          <w:tab w:val="left" w:pos="0"/>
        </w:tabs>
        <w:spacing w:line="480" w:lineRule="auto"/>
        <w:ind w:left="360"/>
        <w:jc w:val="both"/>
        <w:rPr>
          <w:b/>
          <w:i/>
          <w:iCs/>
          <w:color w:val="000000"/>
          <w:szCs w:val="20"/>
        </w:rPr>
      </w:pPr>
      <w:r w:rsidRPr="00FC0527">
        <w:rPr>
          <w:b/>
          <w:i/>
          <w:iCs/>
          <w:color w:val="000000"/>
          <w:szCs w:val="20"/>
        </w:rPr>
        <w:t>Failure Assert Facts Allowing this Court to provide Relief</w:t>
      </w:r>
    </w:p>
    <w:p w14:paraId="4A180CCB" w14:textId="395EDF99" w:rsidR="00B0645C" w:rsidRPr="00FA66E1" w:rsidRDefault="00FA66E1" w:rsidP="00FA66E1">
      <w:pPr>
        <w:widowControl w:val="0"/>
        <w:numPr>
          <w:ilvl w:val="0"/>
          <w:numId w:val="1"/>
        </w:numPr>
        <w:tabs>
          <w:tab w:val="left" w:pos="-1440"/>
          <w:tab w:val="left" w:pos="-720"/>
          <w:tab w:val="left" w:pos="0"/>
        </w:tabs>
        <w:spacing w:line="480" w:lineRule="auto"/>
        <w:ind w:left="720"/>
        <w:jc w:val="both"/>
        <w:rPr>
          <w:bCs/>
          <w:color w:val="000000"/>
          <w:szCs w:val="20"/>
        </w:rPr>
      </w:pPr>
      <w:r w:rsidRPr="00FA66E1">
        <w:rPr>
          <w:bCs/>
          <w:color w:val="000000"/>
          <w:szCs w:val="20"/>
        </w:rPr>
        <w:t>Plaintiff asserts that Defendant owes a balance of $7,176.41 but has not provided adequate documentation to support this claim.</w:t>
      </w:r>
    </w:p>
    <w:p w14:paraId="3D4DEFE9" w14:textId="77CEC825" w:rsidR="00C0592F" w:rsidRPr="00E516F3" w:rsidRDefault="00C0592F" w:rsidP="00E516F3">
      <w:pPr>
        <w:widowControl w:val="0"/>
        <w:numPr>
          <w:ilvl w:val="0"/>
          <w:numId w:val="1"/>
        </w:numPr>
        <w:tabs>
          <w:tab w:val="left" w:pos="-1440"/>
          <w:tab w:val="left" w:pos="-720"/>
          <w:tab w:val="left" w:pos="0"/>
        </w:tabs>
        <w:spacing w:line="480" w:lineRule="auto"/>
        <w:ind w:left="720"/>
        <w:jc w:val="both"/>
        <w:rPr>
          <w:bCs/>
          <w:color w:val="000000"/>
          <w:szCs w:val="20"/>
        </w:rPr>
      </w:pPr>
      <w:r>
        <w:rPr>
          <w:bCs/>
          <w:color w:val="000000"/>
          <w:szCs w:val="20"/>
        </w:rPr>
        <w:t xml:space="preserve">Further, Plaintiff’s </w:t>
      </w:r>
      <w:r w:rsidR="00CF614E">
        <w:rPr>
          <w:bCs/>
          <w:color w:val="000000"/>
          <w:szCs w:val="20"/>
        </w:rPr>
        <w:t xml:space="preserve">additional </w:t>
      </w:r>
      <w:r>
        <w:rPr>
          <w:bCs/>
          <w:color w:val="000000"/>
          <w:szCs w:val="20"/>
        </w:rPr>
        <w:t xml:space="preserve">claimed admissions in their statement of uncontroverted material are insufficient to grant judgment to Plaintiff.  Plaintiff’s Petition asserts a claim on a debt obligation for deficiency balance from the sale of goods governed by the </w:t>
      </w:r>
      <w:r w:rsidR="00E516F3" w:rsidRPr="00E516F3">
        <w:rPr>
          <w:bCs/>
          <w:color w:val="000000"/>
          <w:szCs w:val="20"/>
        </w:rPr>
        <w:t>Uniform Commercial Code (UCC)</w:t>
      </w:r>
      <w:r w:rsidR="00E516F3">
        <w:rPr>
          <w:bCs/>
          <w:color w:val="000000"/>
          <w:szCs w:val="20"/>
        </w:rPr>
        <w:t xml:space="preserve"> </w:t>
      </w:r>
      <w:r w:rsidRPr="00E516F3">
        <w:rPr>
          <w:bCs/>
          <w:color w:val="000000"/>
          <w:szCs w:val="20"/>
        </w:rPr>
        <w:t xml:space="preserve">and Plaintiff claims that the admissions relating to the account stated cause of action would entitle them to judgment in this matter. </w:t>
      </w:r>
      <w:r w:rsidR="00E516F3" w:rsidRPr="00E516F3">
        <w:rPr>
          <w:bCs/>
          <w:color w:val="000000"/>
          <w:szCs w:val="20"/>
        </w:rPr>
        <w:t>K.S.A. §§ 84-9-610, 84-9-611, 84-9-615, 84-9-616</w:t>
      </w:r>
      <w:r w:rsidR="00E516F3">
        <w:rPr>
          <w:bCs/>
          <w:color w:val="000000"/>
          <w:szCs w:val="20"/>
        </w:rPr>
        <w:t xml:space="preserve"> (setting out the UCC requirements as codified in Kansas); </w:t>
      </w:r>
      <w:r w:rsidR="00E516F3" w:rsidRPr="00E516F3">
        <w:rPr>
          <w:bCs/>
          <w:i/>
          <w:iCs/>
          <w:color w:val="000000"/>
          <w:szCs w:val="20"/>
        </w:rPr>
        <w:t>Quincy Lumber Co. v. Saia</w:t>
      </w:r>
      <w:r w:rsidR="00E516F3" w:rsidRPr="00E516F3">
        <w:rPr>
          <w:bCs/>
          <w:color w:val="000000"/>
          <w:szCs w:val="20"/>
        </w:rPr>
        <w:t>, 192 Kan. 776</w:t>
      </w:r>
      <w:r w:rsidR="00E516F3">
        <w:rPr>
          <w:bCs/>
          <w:color w:val="000000"/>
          <w:szCs w:val="20"/>
        </w:rPr>
        <w:t xml:space="preserve">, 779 </w:t>
      </w:r>
      <w:r w:rsidR="00E516F3" w:rsidRPr="00E516F3">
        <w:rPr>
          <w:bCs/>
          <w:color w:val="000000"/>
          <w:szCs w:val="20"/>
        </w:rPr>
        <w:t>(1964)</w:t>
      </w:r>
      <w:r w:rsidR="00E516F3">
        <w:rPr>
          <w:bCs/>
          <w:color w:val="000000"/>
          <w:szCs w:val="20"/>
        </w:rPr>
        <w:t xml:space="preserve"> (setting out the requirements of the account stated cause of action)</w:t>
      </w:r>
      <w:r w:rsidR="00E516F3" w:rsidRPr="00E516F3">
        <w:rPr>
          <w:bCs/>
          <w:color w:val="000000"/>
          <w:szCs w:val="20"/>
        </w:rPr>
        <w:t>.</w:t>
      </w:r>
    </w:p>
    <w:p w14:paraId="47E67EC3" w14:textId="40CA2C95" w:rsidR="00E516F3" w:rsidRDefault="00E516F3" w:rsidP="00E516F3">
      <w:pPr>
        <w:widowControl w:val="0"/>
        <w:numPr>
          <w:ilvl w:val="0"/>
          <w:numId w:val="1"/>
        </w:numPr>
        <w:tabs>
          <w:tab w:val="left" w:pos="-1440"/>
          <w:tab w:val="left" w:pos="-720"/>
          <w:tab w:val="left" w:pos="0"/>
        </w:tabs>
        <w:spacing w:line="480" w:lineRule="auto"/>
        <w:ind w:left="720"/>
        <w:jc w:val="both"/>
        <w:rPr>
          <w:bCs/>
          <w:color w:val="000000"/>
          <w:szCs w:val="20"/>
        </w:rPr>
      </w:pPr>
      <w:r w:rsidRPr="00E516F3">
        <w:rPr>
          <w:bCs/>
          <w:color w:val="000000"/>
          <w:szCs w:val="20"/>
        </w:rPr>
        <w:t>An account stated claim arises when both parties, having engaged in prior financial transactions, mutually acknowledge a final balance due and the debtor, either expressly or implicitly, promises to pay the agreed-upon amount.</w:t>
      </w:r>
      <w:r w:rsidR="00C0592F">
        <w:rPr>
          <w:bCs/>
          <w:color w:val="000000"/>
          <w:szCs w:val="20"/>
        </w:rPr>
        <w:t xml:space="preserve"> </w:t>
      </w:r>
      <w:r>
        <w:rPr>
          <w:bCs/>
          <w:color w:val="000000"/>
          <w:szCs w:val="20"/>
        </w:rPr>
        <w:t xml:space="preserve"> </w:t>
      </w:r>
      <w:r w:rsidRPr="00E516F3">
        <w:rPr>
          <w:bCs/>
          <w:color w:val="000000"/>
          <w:szCs w:val="20"/>
        </w:rPr>
        <w:t>Quincy Lumber Co., 192 Kan. at 77</w:t>
      </w:r>
      <w:r>
        <w:rPr>
          <w:bCs/>
          <w:color w:val="000000"/>
          <w:szCs w:val="20"/>
        </w:rPr>
        <w:t xml:space="preserve">9.  And specifically governs contracts for services and not goods. </w:t>
      </w:r>
      <w:r w:rsidR="00CF614E">
        <w:rPr>
          <w:bCs/>
          <w:color w:val="000000"/>
          <w:szCs w:val="20"/>
        </w:rPr>
        <w:t xml:space="preserve"> </w:t>
      </w:r>
      <w:r w:rsidR="00CF614E" w:rsidRPr="00CF614E">
        <w:rPr>
          <w:bCs/>
          <w:i/>
          <w:iCs/>
          <w:color w:val="000000"/>
          <w:szCs w:val="20"/>
        </w:rPr>
        <w:t>See</w:t>
      </w:r>
      <w:r w:rsidR="00CF614E">
        <w:rPr>
          <w:bCs/>
          <w:color w:val="000000"/>
          <w:szCs w:val="20"/>
        </w:rPr>
        <w:t xml:space="preserve"> </w:t>
      </w:r>
      <w:r w:rsidR="00CF614E" w:rsidRPr="00CF614E">
        <w:rPr>
          <w:bCs/>
          <w:color w:val="000000"/>
          <w:szCs w:val="20"/>
        </w:rPr>
        <w:t>Reeves v. Pillsbury Co., 229 Kan. 423 (1981)</w:t>
      </w:r>
      <w:r w:rsidR="00CF614E">
        <w:rPr>
          <w:bCs/>
          <w:color w:val="000000"/>
          <w:szCs w:val="20"/>
        </w:rPr>
        <w:t xml:space="preserve"> (finding that a contract for goods is governed by the UCC as codified in Kansas). </w:t>
      </w:r>
    </w:p>
    <w:p w14:paraId="2ED0957A" w14:textId="1EECD3C2" w:rsidR="00F241F5" w:rsidRDefault="00E516F3" w:rsidP="00F241F5">
      <w:pPr>
        <w:widowControl w:val="0"/>
        <w:numPr>
          <w:ilvl w:val="0"/>
          <w:numId w:val="1"/>
        </w:numPr>
        <w:tabs>
          <w:tab w:val="left" w:pos="-1440"/>
          <w:tab w:val="left" w:pos="-720"/>
          <w:tab w:val="left" w:pos="0"/>
        </w:tabs>
        <w:spacing w:line="480" w:lineRule="auto"/>
        <w:ind w:left="720"/>
        <w:jc w:val="both"/>
        <w:rPr>
          <w:bCs/>
          <w:color w:val="000000"/>
          <w:szCs w:val="20"/>
        </w:rPr>
      </w:pPr>
      <w:r w:rsidRPr="00E516F3">
        <w:rPr>
          <w:bCs/>
          <w:color w:val="000000"/>
          <w:szCs w:val="20"/>
        </w:rPr>
        <w:lastRenderedPageBreak/>
        <w:t>The Under UCC Article 9, a creditor must prove:</w:t>
      </w:r>
      <w:r>
        <w:rPr>
          <w:bCs/>
          <w:color w:val="000000"/>
          <w:szCs w:val="20"/>
        </w:rPr>
        <w:t xml:space="preserve"> (1) </w:t>
      </w:r>
      <w:r w:rsidRPr="00E516F3">
        <w:rPr>
          <w:bCs/>
          <w:color w:val="000000"/>
          <w:szCs w:val="20"/>
        </w:rPr>
        <w:t>The sale of collateral was commercially reasonable</w:t>
      </w:r>
      <w:r>
        <w:rPr>
          <w:bCs/>
          <w:color w:val="000000"/>
          <w:szCs w:val="20"/>
        </w:rPr>
        <w:t xml:space="preserve">, </w:t>
      </w:r>
      <w:r w:rsidRPr="00E516F3">
        <w:rPr>
          <w:bCs/>
          <w:color w:val="000000"/>
          <w:szCs w:val="20"/>
        </w:rPr>
        <w:t>K.S.A. § 84-9-610)</w:t>
      </w:r>
      <w:r>
        <w:rPr>
          <w:bCs/>
          <w:color w:val="000000"/>
          <w:szCs w:val="20"/>
        </w:rPr>
        <w:t xml:space="preserve">; (2) </w:t>
      </w:r>
      <w:r w:rsidRPr="00E516F3">
        <w:rPr>
          <w:bCs/>
          <w:color w:val="000000"/>
          <w:szCs w:val="20"/>
        </w:rPr>
        <w:t>Proper notice of the sale was provided to the debtor</w:t>
      </w:r>
      <w:r>
        <w:rPr>
          <w:bCs/>
          <w:color w:val="000000"/>
          <w:szCs w:val="20"/>
        </w:rPr>
        <w:t xml:space="preserve">, </w:t>
      </w:r>
      <w:r w:rsidRPr="00E516F3">
        <w:rPr>
          <w:bCs/>
          <w:color w:val="000000"/>
          <w:szCs w:val="20"/>
        </w:rPr>
        <w:t>K.S.A. § 84-9-611;</w:t>
      </w:r>
      <w:r>
        <w:rPr>
          <w:bCs/>
          <w:color w:val="000000"/>
          <w:szCs w:val="20"/>
        </w:rPr>
        <w:t xml:space="preserve"> (3) </w:t>
      </w:r>
      <w:r w:rsidRPr="00E516F3">
        <w:rPr>
          <w:bCs/>
          <w:color w:val="000000"/>
          <w:szCs w:val="20"/>
        </w:rPr>
        <w:t>The deficiency balance was correctly calculated</w:t>
      </w:r>
      <w:r>
        <w:rPr>
          <w:bCs/>
          <w:color w:val="000000"/>
          <w:szCs w:val="20"/>
        </w:rPr>
        <w:t xml:space="preserve">, </w:t>
      </w:r>
      <w:r w:rsidRPr="00E516F3">
        <w:rPr>
          <w:bCs/>
          <w:color w:val="000000"/>
          <w:szCs w:val="20"/>
        </w:rPr>
        <w:t>K.S.A. § 84-9-615; and</w:t>
      </w:r>
      <w:r>
        <w:rPr>
          <w:bCs/>
          <w:color w:val="000000"/>
          <w:szCs w:val="20"/>
        </w:rPr>
        <w:t xml:space="preserve"> (</w:t>
      </w:r>
      <w:r w:rsidR="00F241F5">
        <w:rPr>
          <w:bCs/>
          <w:color w:val="000000"/>
          <w:szCs w:val="20"/>
        </w:rPr>
        <w:t>4</w:t>
      </w:r>
      <w:r>
        <w:rPr>
          <w:bCs/>
          <w:color w:val="000000"/>
          <w:szCs w:val="20"/>
        </w:rPr>
        <w:t xml:space="preserve">) </w:t>
      </w:r>
      <w:r w:rsidRPr="00E516F3">
        <w:rPr>
          <w:bCs/>
          <w:color w:val="000000"/>
          <w:szCs w:val="20"/>
        </w:rPr>
        <w:t>The debtor received an explanation of any remaining balance owed</w:t>
      </w:r>
      <w:r w:rsidR="00CF614E">
        <w:rPr>
          <w:bCs/>
          <w:color w:val="000000"/>
          <w:szCs w:val="20"/>
        </w:rPr>
        <w:t xml:space="preserve">, </w:t>
      </w:r>
      <w:r w:rsidRPr="00E516F3">
        <w:rPr>
          <w:bCs/>
          <w:color w:val="000000"/>
          <w:szCs w:val="20"/>
        </w:rPr>
        <w:t>K.S.A. § 84-9-616).</w:t>
      </w:r>
      <w:r w:rsidR="00F241F5">
        <w:rPr>
          <w:bCs/>
          <w:color w:val="000000"/>
          <w:szCs w:val="20"/>
        </w:rPr>
        <w:t xml:space="preserve">  </w:t>
      </w:r>
      <w:r w:rsidR="00F241F5" w:rsidRPr="00F241F5">
        <w:rPr>
          <w:bCs/>
          <w:color w:val="000000"/>
          <w:szCs w:val="20"/>
        </w:rPr>
        <w:t>Plaintiff’s Purported Admissions Do Not Satisfy UCC Article</w:t>
      </w:r>
      <w:r w:rsidR="00F241F5">
        <w:rPr>
          <w:bCs/>
          <w:color w:val="000000"/>
          <w:szCs w:val="20"/>
        </w:rPr>
        <w:t> </w:t>
      </w:r>
      <w:r w:rsidR="00F241F5" w:rsidRPr="00F241F5">
        <w:rPr>
          <w:bCs/>
          <w:color w:val="000000"/>
          <w:szCs w:val="20"/>
        </w:rPr>
        <w:t>9 Requirements</w:t>
      </w:r>
      <w:r w:rsidR="00F241F5">
        <w:rPr>
          <w:bCs/>
          <w:color w:val="000000"/>
          <w:szCs w:val="20"/>
        </w:rPr>
        <w:t>.</w:t>
      </w:r>
    </w:p>
    <w:p w14:paraId="110967EA" w14:textId="2F3A2454" w:rsidR="00E516F3" w:rsidRDefault="00F241F5" w:rsidP="00F241F5">
      <w:pPr>
        <w:widowControl w:val="0"/>
        <w:numPr>
          <w:ilvl w:val="0"/>
          <w:numId w:val="1"/>
        </w:numPr>
        <w:tabs>
          <w:tab w:val="left" w:pos="-1440"/>
          <w:tab w:val="left" w:pos="-720"/>
          <w:tab w:val="left" w:pos="0"/>
        </w:tabs>
        <w:spacing w:line="480" w:lineRule="auto"/>
        <w:ind w:left="720"/>
        <w:jc w:val="both"/>
        <w:rPr>
          <w:bCs/>
          <w:color w:val="000000"/>
          <w:szCs w:val="20"/>
        </w:rPr>
      </w:pPr>
      <w:r w:rsidRPr="00F241F5">
        <w:rPr>
          <w:bCs/>
          <w:color w:val="000000"/>
          <w:szCs w:val="20"/>
        </w:rPr>
        <w:t xml:space="preserve">Even if Defendant’s responses to Plaintiff’s Requests for Admissions were deemed admitted, these admissions do not establish the necessary elements under UCC Article 9. Plaintiff has not </w:t>
      </w:r>
      <w:r>
        <w:rPr>
          <w:bCs/>
          <w:color w:val="000000"/>
          <w:szCs w:val="20"/>
        </w:rPr>
        <w:t>entered into</w:t>
      </w:r>
      <w:r w:rsidRPr="00F241F5">
        <w:rPr>
          <w:bCs/>
          <w:color w:val="000000"/>
          <w:szCs w:val="20"/>
        </w:rPr>
        <w:t xml:space="preserve"> evidence </w:t>
      </w:r>
      <w:r>
        <w:rPr>
          <w:bCs/>
          <w:color w:val="000000"/>
          <w:szCs w:val="20"/>
        </w:rPr>
        <w:t>documentation that shows (1)</w:t>
      </w:r>
      <w:r w:rsidRPr="00F241F5">
        <w:rPr>
          <w:bCs/>
          <w:color w:val="000000"/>
          <w:szCs w:val="20"/>
        </w:rPr>
        <w:t xml:space="preserve"> the repossession and subsequent sale of the collateral were conducted in a commercially reasonable manner</w:t>
      </w:r>
      <w:r>
        <w:rPr>
          <w:bCs/>
          <w:color w:val="000000"/>
          <w:szCs w:val="20"/>
        </w:rPr>
        <w:t>, (2) Plaintiff or the original creditor,</w:t>
      </w:r>
      <w:r w:rsidRPr="00F241F5">
        <w:rPr>
          <w:bCs/>
          <w:color w:val="000000"/>
          <w:szCs w:val="20"/>
        </w:rPr>
        <w:t xml:space="preserve"> provided the statutorily required notice of sale to Defendant</w:t>
      </w:r>
      <w:r>
        <w:rPr>
          <w:bCs/>
          <w:color w:val="000000"/>
          <w:szCs w:val="20"/>
        </w:rPr>
        <w:t xml:space="preserve">, (3) </w:t>
      </w:r>
      <w:r w:rsidRPr="00F241F5">
        <w:rPr>
          <w:bCs/>
          <w:color w:val="000000"/>
          <w:szCs w:val="20"/>
        </w:rPr>
        <w:t>an itemized deficiency calculation</w:t>
      </w:r>
      <w:r>
        <w:rPr>
          <w:bCs/>
          <w:color w:val="000000"/>
          <w:szCs w:val="20"/>
        </w:rPr>
        <w:t xml:space="preserve">, (4) and </w:t>
      </w:r>
      <w:r w:rsidRPr="00F241F5">
        <w:rPr>
          <w:bCs/>
          <w:color w:val="000000"/>
          <w:szCs w:val="20"/>
        </w:rPr>
        <w:t xml:space="preserve">a written explanation of any remaining deficiency after the sale of repossessed goods. </w:t>
      </w:r>
      <w:r>
        <w:rPr>
          <w:bCs/>
          <w:color w:val="000000"/>
          <w:szCs w:val="20"/>
        </w:rPr>
        <w:t xml:space="preserve"> </w:t>
      </w:r>
      <w:r w:rsidRPr="00F241F5">
        <w:rPr>
          <w:bCs/>
          <w:color w:val="000000"/>
          <w:szCs w:val="20"/>
        </w:rPr>
        <w:t xml:space="preserve">Under Kansas law, this is a factual determination </w:t>
      </w:r>
      <w:r>
        <w:rPr>
          <w:bCs/>
          <w:color w:val="000000"/>
          <w:szCs w:val="20"/>
        </w:rPr>
        <w:t xml:space="preserve">and failure by Plaintiff to meet its burden of production is a </w:t>
      </w:r>
      <w:r w:rsidRPr="00F241F5">
        <w:rPr>
          <w:bCs/>
          <w:color w:val="000000"/>
          <w:szCs w:val="20"/>
        </w:rPr>
        <w:t xml:space="preserve">bar </w:t>
      </w:r>
      <w:r>
        <w:rPr>
          <w:bCs/>
          <w:color w:val="000000"/>
          <w:szCs w:val="20"/>
        </w:rPr>
        <w:t xml:space="preserve">on </w:t>
      </w:r>
      <w:r w:rsidRPr="00F241F5">
        <w:rPr>
          <w:bCs/>
          <w:color w:val="000000"/>
          <w:szCs w:val="20"/>
        </w:rPr>
        <w:t xml:space="preserve">recovery of any </w:t>
      </w:r>
      <w:proofErr w:type="gramStart"/>
      <w:r w:rsidRPr="00F241F5">
        <w:rPr>
          <w:bCs/>
          <w:color w:val="000000"/>
          <w:szCs w:val="20"/>
        </w:rPr>
        <w:t>deficiency</w:t>
      </w:r>
      <w:proofErr w:type="gramEnd"/>
      <w:r w:rsidRPr="00F241F5">
        <w:rPr>
          <w:bCs/>
          <w:color w:val="000000"/>
          <w:szCs w:val="20"/>
        </w:rPr>
        <w:t>.</w:t>
      </w:r>
    </w:p>
    <w:p w14:paraId="4D7163CD" w14:textId="40779D96" w:rsidR="00F241F5" w:rsidRPr="00F241F5" w:rsidRDefault="00F241F5" w:rsidP="00F241F5">
      <w:pPr>
        <w:widowControl w:val="0"/>
        <w:numPr>
          <w:ilvl w:val="0"/>
          <w:numId w:val="1"/>
        </w:numPr>
        <w:tabs>
          <w:tab w:val="left" w:pos="-1440"/>
          <w:tab w:val="left" w:pos="-720"/>
          <w:tab w:val="left" w:pos="0"/>
        </w:tabs>
        <w:spacing w:line="480" w:lineRule="auto"/>
        <w:ind w:left="720"/>
        <w:jc w:val="both"/>
        <w:rPr>
          <w:bCs/>
          <w:color w:val="000000"/>
          <w:szCs w:val="20"/>
        </w:rPr>
      </w:pPr>
      <w:r w:rsidRPr="00F241F5">
        <w:rPr>
          <w:bCs/>
          <w:color w:val="000000"/>
          <w:szCs w:val="20"/>
        </w:rPr>
        <w:t>Plaintiff attempts to rely on an account stated theory to support its claim for summary judgment, but as established above, account stated applies to services, not the sale of goods.</w:t>
      </w:r>
      <w:r>
        <w:rPr>
          <w:bCs/>
          <w:color w:val="000000"/>
          <w:szCs w:val="20"/>
        </w:rPr>
        <w:t xml:space="preserve">  </w:t>
      </w:r>
      <w:r w:rsidRPr="00F241F5">
        <w:rPr>
          <w:bCs/>
          <w:color w:val="000000"/>
          <w:szCs w:val="20"/>
        </w:rPr>
        <w:t>Plaintiff</w:t>
      </w:r>
      <w:r>
        <w:rPr>
          <w:bCs/>
          <w:color w:val="000000"/>
          <w:szCs w:val="20"/>
        </w:rPr>
        <w:t>’</w:t>
      </w:r>
      <w:r w:rsidRPr="00F241F5">
        <w:rPr>
          <w:bCs/>
          <w:color w:val="000000"/>
          <w:szCs w:val="20"/>
        </w:rPr>
        <w:t xml:space="preserve">s admissions, even if deemed admitted, do not convert this UCC-governed transaction into an account stated claim. </w:t>
      </w:r>
      <w:r>
        <w:rPr>
          <w:bCs/>
          <w:color w:val="000000"/>
          <w:szCs w:val="20"/>
        </w:rPr>
        <w:t xml:space="preserve"> </w:t>
      </w:r>
      <w:r w:rsidRPr="00F241F5">
        <w:rPr>
          <w:bCs/>
          <w:color w:val="000000"/>
          <w:szCs w:val="20"/>
        </w:rPr>
        <w:t xml:space="preserve">The Kansas Supreme Court has recognized that the UCC displaces common-law contract doctrines when a dispute involves the sale of goods. </w:t>
      </w:r>
      <w:r>
        <w:rPr>
          <w:bCs/>
          <w:color w:val="000000"/>
          <w:szCs w:val="20"/>
        </w:rPr>
        <w:t xml:space="preserve"> </w:t>
      </w:r>
      <w:r w:rsidRPr="00F241F5">
        <w:rPr>
          <w:bCs/>
          <w:i/>
          <w:iCs/>
          <w:color w:val="000000"/>
          <w:szCs w:val="20"/>
        </w:rPr>
        <w:t>Reeves</w:t>
      </w:r>
      <w:r w:rsidRPr="00F241F5">
        <w:rPr>
          <w:bCs/>
          <w:color w:val="000000"/>
          <w:szCs w:val="20"/>
        </w:rPr>
        <w:t xml:space="preserve">, 229 Kan. 423. Plaintiff cannot bypass the specific statutory requirements of UCC Article 9 by relying on general contract principles under </w:t>
      </w:r>
      <w:proofErr w:type="gramStart"/>
      <w:r w:rsidRPr="00F241F5">
        <w:rPr>
          <w:bCs/>
          <w:color w:val="000000"/>
          <w:szCs w:val="20"/>
        </w:rPr>
        <w:t>account stated</w:t>
      </w:r>
      <w:proofErr w:type="gramEnd"/>
      <w:r w:rsidRPr="00F241F5">
        <w:rPr>
          <w:bCs/>
          <w:color w:val="000000"/>
          <w:szCs w:val="20"/>
        </w:rPr>
        <w:t>.</w:t>
      </w:r>
    </w:p>
    <w:p w14:paraId="6B9217CB" w14:textId="7AC9214E" w:rsidR="00F241F5" w:rsidRPr="00FA66E1" w:rsidRDefault="00F241F5" w:rsidP="00FA66E1">
      <w:pPr>
        <w:widowControl w:val="0"/>
        <w:numPr>
          <w:ilvl w:val="0"/>
          <w:numId w:val="1"/>
        </w:numPr>
        <w:tabs>
          <w:tab w:val="left" w:pos="-1440"/>
          <w:tab w:val="left" w:pos="-720"/>
          <w:tab w:val="left" w:pos="0"/>
        </w:tabs>
        <w:spacing w:line="480" w:lineRule="auto"/>
        <w:ind w:left="720"/>
        <w:jc w:val="both"/>
        <w:rPr>
          <w:bCs/>
          <w:color w:val="000000"/>
          <w:szCs w:val="20"/>
        </w:rPr>
      </w:pPr>
      <w:r>
        <w:rPr>
          <w:bCs/>
          <w:color w:val="000000"/>
          <w:szCs w:val="20"/>
        </w:rPr>
        <w:t>S</w:t>
      </w:r>
      <w:r w:rsidRPr="00F241F5">
        <w:rPr>
          <w:bCs/>
          <w:color w:val="000000"/>
          <w:szCs w:val="20"/>
        </w:rPr>
        <w:t xml:space="preserve">ummary judgment is appropriate only where there is no genuine issue of material fact, </w:t>
      </w:r>
      <w:r w:rsidRPr="00F241F5">
        <w:rPr>
          <w:bCs/>
          <w:color w:val="000000"/>
          <w:szCs w:val="20"/>
        </w:rPr>
        <w:lastRenderedPageBreak/>
        <w:t>and the moving party is entitled to judgment as a matter of law under K.S.A. § 60-256(c).</w:t>
      </w:r>
      <w:r>
        <w:rPr>
          <w:bCs/>
          <w:color w:val="000000"/>
          <w:szCs w:val="20"/>
        </w:rPr>
        <w:t xml:space="preserve"> And Plaintiff’s Motion fails to establish </w:t>
      </w:r>
      <w:r w:rsidRPr="00F241F5">
        <w:rPr>
          <w:bCs/>
          <w:color w:val="000000"/>
          <w:szCs w:val="20"/>
        </w:rPr>
        <w:t>there is no genuine issue of material fact</w:t>
      </w:r>
      <w:r w:rsidR="00FC0527">
        <w:rPr>
          <w:bCs/>
          <w:color w:val="000000"/>
          <w:szCs w:val="20"/>
        </w:rPr>
        <w:t xml:space="preserve"> and must be summarily denied</w:t>
      </w:r>
      <w:r>
        <w:rPr>
          <w:bCs/>
          <w:color w:val="000000"/>
          <w:szCs w:val="20"/>
        </w:rPr>
        <w:t xml:space="preserve">. </w:t>
      </w:r>
      <w:r w:rsidRPr="00FA66E1">
        <w:rPr>
          <w:bCs/>
          <w:noProof/>
          <w:color w:val="000000"/>
          <w:szCs w:val="20"/>
        </w:rPr>
        <w:t xml:space="preserve"> </w:t>
      </w:r>
    </w:p>
    <w:p w14:paraId="396E53AE" w14:textId="3AE65205" w:rsidR="00FA66E1" w:rsidRPr="00FC0527" w:rsidRDefault="004C4958" w:rsidP="00FC0527">
      <w:pPr>
        <w:widowControl w:val="0"/>
        <w:tabs>
          <w:tab w:val="left" w:pos="-1440"/>
          <w:tab w:val="left" w:pos="-720"/>
          <w:tab w:val="left" w:pos="0"/>
        </w:tabs>
        <w:spacing w:line="480" w:lineRule="auto"/>
        <w:ind w:left="360"/>
        <w:jc w:val="both"/>
        <w:rPr>
          <w:bCs/>
          <w:noProof/>
          <w:color w:val="000000"/>
          <w:szCs w:val="20"/>
        </w:rPr>
      </w:pPr>
      <w:r>
        <w:rPr>
          <w:bCs/>
          <w:color w:val="000000"/>
          <w:szCs w:val="20"/>
        </w:rPr>
        <w:tab/>
      </w:r>
      <w:r>
        <w:rPr>
          <w:bCs/>
          <w:color w:val="000000"/>
          <w:szCs w:val="20"/>
        </w:rPr>
        <w:tab/>
      </w:r>
      <w:r w:rsidR="00003639" w:rsidRPr="00C22B53">
        <w:rPr>
          <w:bCs/>
          <w:color w:val="000000"/>
          <w:szCs w:val="20"/>
        </w:rPr>
        <w:t xml:space="preserve">WHEREFORE, </w:t>
      </w:r>
      <w:r w:rsidR="00F241F5">
        <w:rPr>
          <w:bCs/>
          <w:color w:val="000000"/>
          <w:szCs w:val="20"/>
        </w:rPr>
        <w:t xml:space="preserve">Defendant </w:t>
      </w:r>
      <w:r w:rsidR="00F241F5" w:rsidRPr="004B3416">
        <w:rPr>
          <w:bCs/>
          <w:noProof/>
          <w:color w:val="000000"/>
          <w:szCs w:val="20"/>
        </w:rPr>
        <w:t xml:space="preserve">requests </w:t>
      </w:r>
      <w:r w:rsidR="00F241F5">
        <w:rPr>
          <w:bCs/>
          <w:noProof/>
          <w:color w:val="000000"/>
          <w:szCs w:val="20"/>
        </w:rPr>
        <w:t>this Court</w:t>
      </w:r>
      <w:r w:rsidR="00FA66E1">
        <w:rPr>
          <w:bCs/>
          <w:noProof/>
          <w:color w:val="000000"/>
          <w:szCs w:val="20"/>
        </w:rPr>
        <w:t>:</w:t>
      </w:r>
      <w:r w:rsidR="00F241F5">
        <w:rPr>
          <w:bCs/>
          <w:noProof/>
          <w:color w:val="000000"/>
          <w:szCs w:val="20"/>
        </w:rPr>
        <w:t xml:space="preserve"> </w:t>
      </w:r>
      <w:r w:rsidR="00FA66E1">
        <w:rPr>
          <w:bCs/>
          <w:noProof/>
          <w:color w:val="000000"/>
          <w:szCs w:val="20"/>
        </w:rPr>
        <w:t xml:space="preserve">(1) deny Plaintiff’s Motion for Summary Judgment, (2) permit Defendant leave to respond to Plainitff’s First Request for Admissions out of Time, (3) deem the Responses to Plainitff’s First Request for Admissions sent on February 13, 2025 as timely, and (4) grant any other relief </w:t>
      </w:r>
      <w:r w:rsidR="00FA66E1" w:rsidRPr="00FA66E1">
        <w:rPr>
          <w:bCs/>
          <w:noProof/>
          <w:color w:val="000000"/>
          <w:szCs w:val="20"/>
        </w:rPr>
        <w:t>any other relief the Court deems just and prope</w:t>
      </w:r>
      <w:r w:rsidR="00FA66E1">
        <w:rPr>
          <w:bCs/>
          <w:noProof/>
          <w:color w:val="000000"/>
          <w:szCs w:val="20"/>
        </w:rPr>
        <w:t xml:space="preserve">r. </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5878FE" w:rsidRPr="00D81100" w14:paraId="5A94144A" w14:textId="77777777" w:rsidTr="00793F94">
        <w:trPr>
          <w:trHeight w:val="3060"/>
        </w:trPr>
        <w:tc>
          <w:tcPr>
            <w:tcW w:w="4782" w:type="dxa"/>
          </w:tcPr>
          <w:p w14:paraId="6A283A29" w14:textId="77777777" w:rsidR="005878FE" w:rsidRPr="000279DB" w:rsidRDefault="005878FE" w:rsidP="00793F94">
            <w:pPr>
              <w:spacing w:line="480" w:lineRule="auto"/>
              <w:rPr>
                <w:b/>
              </w:rPr>
            </w:pPr>
          </w:p>
        </w:tc>
        <w:tc>
          <w:tcPr>
            <w:tcW w:w="5033" w:type="dxa"/>
          </w:tcPr>
          <w:p w14:paraId="244C14EE" w14:textId="77777777" w:rsidR="005878FE" w:rsidRDefault="005878FE" w:rsidP="00793F94">
            <w:pPr>
              <w:rPr>
                <w:rFonts w:eastAsia="Arial"/>
                <w:szCs w:val="22"/>
              </w:rPr>
            </w:pPr>
            <w:r>
              <w:rPr>
                <w:rFonts w:eastAsia="Arial"/>
                <w:szCs w:val="22"/>
              </w:rPr>
              <w:t>Respectfully</w:t>
            </w:r>
            <w:r>
              <w:t xml:space="preserve"> submitted,</w:t>
            </w:r>
          </w:p>
          <w:p w14:paraId="15CBC6BB" w14:textId="77777777" w:rsidR="005878FE" w:rsidRPr="00D81100" w:rsidRDefault="005878FE" w:rsidP="00793F94">
            <w:pPr>
              <w:rPr>
                <w:rFonts w:eastAsia="Arial"/>
                <w:szCs w:val="22"/>
              </w:rPr>
            </w:pPr>
          </w:p>
          <w:p w14:paraId="4593A65C" w14:textId="77777777" w:rsidR="005878FE" w:rsidRPr="005C02A9" w:rsidRDefault="005878FE" w:rsidP="00793F94">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4C61FAA0" w14:textId="77777777" w:rsidR="005878FE" w:rsidRPr="00D81100" w:rsidRDefault="005878FE" w:rsidP="00793F94">
            <w:pPr>
              <w:rPr>
                <w:rFonts w:eastAsia="Arial"/>
                <w:szCs w:val="22"/>
              </w:rPr>
            </w:pPr>
          </w:p>
          <w:p w14:paraId="65D8B8D8" w14:textId="77777777" w:rsidR="005878FE" w:rsidRPr="00DA181C" w:rsidRDefault="005878FE" w:rsidP="00793F94">
            <w:pPr>
              <w:rPr>
                <w:rFonts w:eastAsia="Arial"/>
                <w:szCs w:val="22"/>
              </w:rPr>
            </w:pPr>
            <w:r w:rsidRPr="00DA181C">
              <w:rPr>
                <w:rFonts w:eastAsia="Arial"/>
                <w:szCs w:val="22"/>
                <w:u w:val="single"/>
              </w:rPr>
              <w:t xml:space="preserve"> /</w:t>
            </w:r>
            <w:r>
              <w:rPr>
                <w:rFonts w:eastAsia="Arial"/>
                <w:szCs w:val="22"/>
                <w:u w:val="single"/>
              </w:rPr>
              <w:t xml:space="preserve">s/ Ryan M. Callahan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463825D0" w14:textId="77777777" w:rsidR="005878FE" w:rsidRPr="00DA181C" w:rsidRDefault="005878FE" w:rsidP="00793F94">
            <w:pPr>
              <w:rPr>
                <w:rFonts w:eastAsia="Arial"/>
                <w:szCs w:val="22"/>
              </w:rPr>
            </w:pPr>
            <w:r>
              <w:rPr>
                <w:rFonts w:eastAsia="Arial"/>
                <w:szCs w:val="22"/>
              </w:rPr>
              <w:t xml:space="preserve">RYAN M. CALLAHAN, SC # </w:t>
            </w:r>
            <w:r w:rsidRPr="00513DFE">
              <w:t>25363</w:t>
            </w:r>
          </w:p>
          <w:p w14:paraId="730F7340" w14:textId="77777777" w:rsidR="005878FE" w:rsidRPr="00DA181C" w:rsidRDefault="005878FE" w:rsidP="00793F94">
            <w:pPr>
              <w:rPr>
                <w:rFonts w:eastAsia="Arial"/>
                <w:szCs w:val="22"/>
              </w:rPr>
            </w:pPr>
            <w:r w:rsidRPr="00DA181C">
              <w:t>222 W. Gregory Blvd. Suite 210</w:t>
            </w:r>
            <w:r w:rsidRPr="00DA181C">
              <w:br/>
            </w:r>
            <w:r w:rsidRPr="00DA181C">
              <w:rPr>
                <w:rFonts w:eastAsia="Arial"/>
                <w:szCs w:val="22"/>
              </w:rPr>
              <w:t>Kansas City, MO 64114</w:t>
            </w:r>
          </w:p>
          <w:p w14:paraId="32C56486" w14:textId="77777777" w:rsidR="005878FE" w:rsidRPr="00DA181C" w:rsidRDefault="005878FE" w:rsidP="00793F94">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9AE2F56" w14:textId="77777777" w:rsidR="005878FE" w:rsidRPr="00DA181C" w:rsidRDefault="005878FE" w:rsidP="00793F94">
            <w:pPr>
              <w:keepLines/>
            </w:pPr>
            <w:r w:rsidRPr="00DA181C">
              <w:t xml:space="preserve">E-mail: </w:t>
            </w:r>
            <w:r>
              <w:t>ryan</w:t>
            </w:r>
            <w:r w:rsidRPr="00DA181C">
              <w:t>@callahanlawkc.com</w:t>
            </w:r>
          </w:p>
          <w:p w14:paraId="0A5ADB19" w14:textId="77777777" w:rsidR="005878FE" w:rsidRPr="000279DB" w:rsidRDefault="005878FE" w:rsidP="00793F94">
            <w:pPr>
              <w:rPr>
                <w:rFonts w:eastAsia="Arial"/>
                <w:b/>
                <w:szCs w:val="22"/>
              </w:rPr>
            </w:pPr>
            <w:r w:rsidRPr="00DA181C">
              <w:rPr>
                <w:rFonts w:eastAsia="Arial"/>
                <w:b/>
                <w:szCs w:val="22"/>
              </w:rPr>
              <w:t>ATTORNEY FOR DEFENDANT</w:t>
            </w:r>
          </w:p>
        </w:tc>
      </w:tr>
    </w:tbl>
    <w:p w14:paraId="6EB42382" w14:textId="77777777" w:rsidR="000E501F" w:rsidRDefault="000E501F" w:rsidP="00245F31">
      <w:pPr>
        <w:pStyle w:val="Heading1"/>
      </w:pPr>
    </w:p>
    <w:p w14:paraId="4D81918A" w14:textId="431DF105" w:rsidR="00003639" w:rsidRPr="00245F31" w:rsidRDefault="00245F31" w:rsidP="00245F31">
      <w:pPr>
        <w:pStyle w:val="Heading1"/>
      </w:pPr>
      <w:r w:rsidRPr="00245F31">
        <w:t>Certificate of Service</w:t>
      </w:r>
    </w:p>
    <w:p w14:paraId="330B04C7" w14:textId="2205D2BB" w:rsidR="00A21069" w:rsidRDefault="00A21069" w:rsidP="00A21069">
      <w:pPr>
        <w:ind w:firstLine="720"/>
        <w:jc w:val="both"/>
      </w:pPr>
      <w:r w:rsidRPr="00883B4B">
        <w:rPr>
          <w:rFonts w:eastAsia="Century Schoolbook"/>
        </w:rPr>
        <w:t xml:space="preserve">The undersigned certifies </w:t>
      </w:r>
      <w:r>
        <w:t xml:space="preserve">the above Response in Opposition to Plaintiff’s Motion for Summary Judgment was filed with the </w:t>
      </w:r>
      <w:r w:rsidRPr="00480F37">
        <w:t xml:space="preserve">{caseCounty} </w:t>
      </w:r>
      <w:r>
        <w:t xml:space="preserve">County </w:t>
      </w:r>
      <w:r w:rsidRPr="002F5C79">
        <w:t>{</w:t>
      </w:r>
      <w:proofErr w:type="spellStart"/>
      <w:r>
        <w:t>c</w:t>
      </w:r>
      <w:r w:rsidRPr="002F5C79">
        <w:t>ase</w:t>
      </w:r>
      <w:r>
        <w:t>D</w:t>
      </w:r>
      <w:r w:rsidRPr="002F5C79">
        <w:t>esignation</w:t>
      </w:r>
      <w:proofErr w:type="spellEnd"/>
      <w:r w:rsidRPr="002F5C79">
        <w:t xml:space="preserve">} </w:t>
      </w:r>
      <w:r>
        <w:t>Court</w:t>
      </w:r>
      <w:r w:rsidRPr="00173D2F">
        <w:t xml:space="preserve"> through the </w:t>
      </w:r>
      <w:proofErr w:type="spellStart"/>
      <w:r>
        <w:t>e</w:t>
      </w:r>
      <w:r w:rsidRPr="00173D2F">
        <w:t>-Filing</w:t>
      </w:r>
      <w:proofErr w:type="spellEnd"/>
      <w:r w:rsidRPr="00173D2F">
        <w:t xml:space="preserve"> System</w:t>
      </w:r>
      <w:r>
        <w:t xml:space="preserve">, with e-Service on counsel of record through the </w:t>
      </w:r>
      <w:bookmarkStart w:id="0" w:name="_Hlk140271925"/>
      <w:proofErr w:type="spellStart"/>
      <w:r>
        <w:t>e</w:t>
      </w:r>
      <w:r w:rsidRPr="00173D2F">
        <w:t>-Filing</w:t>
      </w:r>
      <w:proofErr w:type="spellEnd"/>
      <w:r w:rsidRPr="00173D2F">
        <w:t xml:space="preserve"> System on </w:t>
      </w:r>
      <w:bookmarkStart w:id="1" w:name="_Hlk140275855"/>
      <w:r w:rsidRPr="00BF6407">
        <w:rPr>
          <w:highlight w:val="yellow"/>
        </w:rPr>
        <w:t>{today}.</w:t>
      </w:r>
      <w:bookmarkEnd w:id="1"/>
    </w:p>
    <w:p w14:paraId="6CD117ED" w14:textId="458BC31A" w:rsidR="00AE7176" w:rsidRDefault="00AE7176" w:rsidP="00A21069">
      <w:pPr>
        <w:ind w:firstLine="720"/>
        <w:jc w:val="both"/>
      </w:pPr>
      <w:r w:rsidRPr="00A522EB">
        <w:rPr>
          <w:snapToGrid w:val="0"/>
        </w:rPr>
        <w:t xml:space="preserve">The undersigned </w:t>
      </w:r>
      <w:r>
        <w:rPr>
          <w:snapToGrid w:val="0"/>
        </w:rPr>
        <w:t xml:space="preserve">further </w:t>
      </w:r>
      <w:r w:rsidRPr="00A522EB">
        <w:rPr>
          <w:snapToGrid w:val="0"/>
        </w:rPr>
        <w:t xml:space="preserve">certifies that no portion of this </w:t>
      </w:r>
      <w:r>
        <w:t>Response in Opposition to Plaintiff’s Motion for Summary Judgment</w:t>
      </w:r>
      <w:r w:rsidRPr="00A522EB">
        <w:rPr>
          <w:snapToGrid w:val="0"/>
        </w:rPr>
        <w:t xml:space="preserve"> was prepared using Generative A.I.</w:t>
      </w:r>
    </w:p>
    <w:p w14:paraId="48C31CD6" w14:textId="77777777" w:rsidR="00A21069" w:rsidRPr="00C119C6" w:rsidRDefault="00A21069" w:rsidP="00A21069">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A21069" w:rsidRPr="00D81100" w14:paraId="2B2A429C" w14:textId="77777777" w:rsidTr="00932536">
        <w:trPr>
          <w:trHeight w:val="627"/>
        </w:trPr>
        <w:tc>
          <w:tcPr>
            <w:tcW w:w="4793" w:type="dxa"/>
          </w:tcPr>
          <w:p w14:paraId="00360FB8" w14:textId="77777777" w:rsidR="00A21069" w:rsidRPr="000279DB" w:rsidRDefault="00A21069" w:rsidP="00932536">
            <w:pPr>
              <w:spacing w:line="480" w:lineRule="auto"/>
              <w:rPr>
                <w:b/>
              </w:rPr>
            </w:pPr>
          </w:p>
        </w:tc>
        <w:tc>
          <w:tcPr>
            <w:tcW w:w="5046" w:type="dxa"/>
          </w:tcPr>
          <w:p w14:paraId="5B5D07E8" w14:textId="77777777" w:rsidR="005878FE" w:rsidRPr="00DA181C" w:rsidRDefault="00A21069" w:rsidP="005878FE">
            <w:pPr>
              <w:rPr>
                <w:rFonts w:eastAsia="Arial"/>
                <w:szCs w:val="22"/>
              </w:rPr>
            </w:pPr>
            <w:r w:rsidRPr="006A422F">
              <w:rPr>
                <w:rFonts w:eastAsia="Arial"/>
                <w:szCs w:val="22"/>
                <w:u w:val="single"/>
              </w:rPr>
              <w:t xml:space="preserve"> /</w:t>
            </w:r>
            <w:r>
              <w:rPr>
                <w:rFonts w:eastAsia="Arial"/>
                <w:szCs w:val="22"/>
                <w:u w:val="single"/>
              </w:rPr>
              <w:t xml:space="preserve">s/ </w:t>
            </w:r>
            <w:r w:rsidR="005878FE">
              <w:rPr>
                <w:rFonts w:eastAsia="Arial"/>
                <w:szCs w:val="22"/>
                <w:u w:val="single"/>
              </w:rPr>
              <w:t xml:space="preserve">Ryan M. Callahan                          </w:t>
            </w:r>
            <w:r w:rsidR="005878FE" w:rsidRPr="005412D0">
              <w:rPr>
                <w:rFonts w:eastAsia="Arial"/>
                <w:color w:val="FFFFFF" w:themeColor="background1"/>
                <w:szCs w:val="22"/>
                <w:u w:val="single"/>
              </w:rPr>
              <w:t>.</w:t>
            </w:r>
            <w:r w:rsidR="005878FE">
              <w:rPr>
                <w:rFonts w:eastAsia="Arial"/>
                <w:szCs w:val="22"/>
                <w:u w:val="single"/>
              </w:rPr>
              <w:t xml:space="preserve">      </w:t>
            </w:r>
            <w:r w:rsidR="005878FE" w:rsidRPr="00DA181C">
              <w:rPr>
                <w:rFonts w:eastAsia="Arial"/>
                <w:szCs w:val="22"/>
              </w:rPr>
              <w:t xml:space="preserve">              </w:t>
            </w:r>
          </w:p>
          <w:p w14:paraId="1B053F3A" w14:textId="77777777" w:rsidR="005878FE" w:rsidRPr="00DA181C" w:rsidRDefault="005878FE" w:rsidP="005878FE">
            <w:pPr>
              <w:rPr>
                <w:rFonts w:eastAsia="Arial"/>
                <w:szCs w:val="22"/>
              </w:rPr>
            </w:pPr>
            <w:r>
              <w:rPr>
                <w:rFonts w:eastAsia="Arial"/>
                <w:szCs w:val="22"/>
              </w:rPr>
              <w:t xml:space="preserve">RYAN M. CALLAHAN, SC # </w:t>
            </w:r>
            <w:r w:rsidRPr="00513DFE">
              <w:t>25363</w:t>
            </w:r>
          </w:p>
          <w:p w14:paraId="35FFA358" w14:textId="335755C9" w:rsidR="00A21069" w:rsidRPr="00B2070B" w:rsidRDefault="00A21069" w:rsidP="00932536">
            <w:pPr>
              <w:rPr>
                <w:rFonts w:eastAsia="Arial"/>
                <w:szCs w:val="22"/>
              </w:rPr>
            </w:pPr>
          </w:p>
        </w:tc>
      </w:tr>
      <w:bookmarkEnd w:id="0"/>
    </w:tbl>
    <w:p w14:paraId="586F45C5" w14:textId="6721109F" w:rsidR="00950970" w:rsidRPr="00A053F2" w:rsidRDefault="00950970" w:rsidP="00FC0527">
      <w:pPr>
        <w:suppressLineNumbers/>
        <w:rPr>
          <w:color w:val="000000"/>
        </w:rPr>
      </w:pPr>
    </w:p>
    <w:sectPr w:rsidR="00950970" w:rsidRPr="00A053F2" w:rsidSect="00245F31">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EA44" w14:textId="77777777" w:rsidR="00B55830" w:rsidRDefault="00B55830" w:rsidP="00FA1D46">
      <w:r>
        <w:separator/>
      </w:r>
    </w:p>
  </w:endnote>
  <w:endnote w:type="continuationSeparator" w:id="0">
    <w:p w14:paraId="1D94FEE6" w14:textId="77777777" w:rsidR="00B55830" w:rsidRDefault="00B55830"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203CD816" w:rsidR="00FA1D46" w:rsidRPr="00245F31" w:rsidRDefault="00245F31" w:rsidP="00245F31">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t>1</w:t>
    </w:r>
    <w:r w:rsidRPr="00FA1D46">
      <w:fldChar w:fldCharType="end"/>
    </w:r>
    <w:r w:rsidRPr="00FA1D46">
      <w:t xml:space="preserve"> of</w:t>
    </w:r>
    <w:r>
      <w:t xml:space="preserve"> </w:t>
    </w:r>
    <w:r w:rsidRPr="00FA1D46">
      <w:t xml:space="preserve"> </w:t>
    </w:r>
    <w:fldSimple w:instr=" SECTIONPAGES  ">
      <w:r w:rsidR="005878FE">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02AF" w14:textId="77777777" w:rsidR="00B55830" w:rsidRDefault="00B55830" w:rsidP="00FA1D46">
      <w:r>
        <w:separator/>
      </w:r>
    </w:p>
  </w:footnote>
  <w:footnote w:type="continuationSeparator" w:id="0">
    <w:p w14:paraId="74C3E4D4" w14:textId="77777777" w:rsidR="00B55830" w:rsidRDefault="00B55830"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159B0"/>
    <w:multiLevelType w:val="hybridMultilevel"/>
    <w:tmpl w:val="FFFFFFFF"/>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37083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51"/>
    <w:rsid w:val="00003639"/>
    <w:rsid w:val="00040E13"/>
    <w:rsid w:val="000431AC"/>
    <w:rsid w:val="00043A5C"/>
    <w:rsid w:val="00043C00"/>
    <w:rsid w:val="00046D74"/>
    <w:rsid w:val="00051862"/>
    <w:rsid w:val="00065101"/>
    <w:rsid w:val="00081B9E"/>
    <w:rsid w:val="0009078A"/>
    <w:rsid w:val="000A6AAD"/>
    <w:rsid w:val="000B63AC"/>
    <w:rsid w:val="000C710A"/>
    <w:rsid w:val="000E501F"/>
    <w:rsid w:val="0013028B"/>
    <w:rsid w:val="00134604"/>
    <w:rsid w:val="001502F2"/>
    <w:rsid w:val="00166DB9"/>
    <w:rsid w:val="00180611"/>
    <w:rsid w:val="001A01F7"/>
    <w:rsid w:val="001A1907"/>
    <w:rsid w:val="001C0446"/>
    <w:rsid w:val="001C0CA6"/>
    <w:rsid w:val="001F254D"/>
    <w:rsid w:val="001F64DB"/>
    <w:rsid w:val="0021287B"/>
    <w:rsid w:val="00224D78"/>
    <w:rsid w:val="00242E53"/>
    <w:rsid w:val="00245F31"/>
    <w:rsid w:val="0027038B"/>
    <w:rsid w:val="00286EBF"/>
    <w:rsid w:val="00291AFF"/>
    <w:rsid w:val="002B413C"/>
    <w:rsid w:val="002D1EEC"/>
    <w:rsid w:val="002E703F"/>
    <w:rsid w:val="002F5C79"/>
    <w:rsid w:val="00303BE1"/>
    <w:rsid w:val="00321D71"/>
    <w:rsid w:val="003237C4"/>
    <w:rsid w:val="00353573"/>
    <w:rsid w:val="003639DF"/>
    <w:rsid w:val="003B0B46"/>
    <w:rsid w:val="003D5833"/>
    <w:rsid w:val="003E0BF7"/>
    <w:rsid w:val="004217AB"/>
    <w:rsid w:val="00480F37"/>
    <w:rsid w:val="004B3416"/>
    <w:rsid w:val="004C4958"/>
    <w:rsid w:val="004E1C01"/>
    <w:rsid w:val="00531057"/>
    <w:rsid w:val="005412D0"/>
    <w:rsid w:val="00557D97"/>
    <w:rsid w:val="00560501"/>
    <w:rsid w:val="005878FE"/>
    <w:rsid w:val="005879CE"/>
    <w:rsid w:val="005C02A9"/>
    <w:rsid w:val="005F2AF2"/>
    <w:rsid w:val="00605050"/>
    <w:rsid w:val="00620AC5"/>
    <w:rsid w:val="00621E01"/>
    <w:rsid w:val="006400C8"/>
    <w:rsid w:val="0066018B"/>
    <w:rsid w:val="0066358C"/>
    <w:rsid w:val="0068555D"/>
    <w:rsid w:val="006A422F"/>
    <w:rsid w:val="006B2C43"/>
    <w:rsid w:val="006B7D77"/>
    <w:rsid w:val="006D46F2"/>
    <w:rsid w:val="007110C9"/>
    <w:rsid w:val="00741884"/>
    <w:rsid w:val="00747A44"/>
    <w:rsid w:val="00775773"/>
    <w:rsid w:val="00777D20"/>
    <w:rsid w:val="00783C3C"/>
    <w:rsid w:val="007A65C6"/>
    <w:rsid w:val="007D0F13"/>
    <w:rsid w:val="007F511E"/>
    <w:rsid w:val="00804D1A"/>
    <w:rsid w:val="0080741F"/>
    <w:rsid w:val="00832451"/>
    <w:rsid w:val="008521B6"/>
    <w:rsid w:val="008635EF"/>
    <w:rsid w:val="008C308B"/>
    <w:rsid w:val="00912666"/>
    <w:rsid w:val="009222A4"/>
    <w:rsid w:val="009236C7"/>
    <w:rsid w:val="0092400A"/>
    <w:rsid w:val="009426BF"/>
    <w:rsid w:val="00950970"/>
    <w:rsid w:val="009A7452"/>
    <w:rsid w:val="009B2F5C"/>
    <w:rsid w:val="009E1C47"/>
    <w:rsid w:val="009F64C9"/>
    <w:rsid w:val="00A053F2"/>
    <w:rsid w:val="00A07B17"/>
    <w:rsid w:val="00A14637"/>
    <w:rsid w:val="00A20CEE"/>
    <w:rsid w:val="00A21069"/>
    <w:rsid w:val="00A525BA"/>
    <w:rsid w:val="00A66A98"/>
    <w:rsid w:val="00A66BA9"/>
    <w:rsid w:val="00A919A7"/>
    <w:rsid w:val="00AE1ED9"/>
    <w:rsid w:val="00AE7176"/>
    <w:rsid w:val="00B0645C"/>
    <w:rsid w:val="00B2070B"/>
    <w:rsid w:val="00B43876"/>
    <w:rsid w:val="00B46CC5"/>
    <w:rsid w:val="00B507BE"/>
    <w:rsid w:val="00B55830"/>
    <w:rsid w:val="00B8121E"/>
    <w:rsid w:val="00BA0508"/>
    <w:rsid w:val="00BA7809"/>
    <w:rsid w:val="00BE7B36"/>
    <w:rsid w:val="00BF63F7"/>
    <w:rsid w:val="00BF6407"/>
    <w:rsid w:val="00C02F17"/>
    <w:rsid w:val="00C04AEF"/>
    <w:rsid w:val="00C0592F"/>
    <w:rsid w:val="00CD3EB6"/>
    <w:rsid w:val="00CF5E3C"/>
    <w:rsid w:val="00CF614E"/>
    <w:rsid w:val="00D03F3E"/>
    <w:rsid w:val="00D45A77"/>
    <w:rsid w:val="00D50F6E"/>
    <w:rsid w:val="00D651C9"/>
    <w:rsid w:val="00DA181C"/>
    <w:rsid w:val="00DC621C"/>
    <w:rsid w:val="00DD0B03"/>
    <w:rsid w:val="00E06EB2"/>
    <w:rsid w:val="00E25BD1"/>
    <w:rsid w:val="00E516F3"/>
    <w:rsid w:val="00E86F74"/>
    <w:rsid w:val="00E918D2"/>
    <w:rsid w:val="00EA1EF5"/>
    <w:rsid w:val="00EB3978"/>
    <w:rsid w:val="00EC5F31"/>
    <w:rsid w:val="00EE2B39"/>
    <w:rsid w:val="00EF3577"/>
    <w:rsid w:val="00F02A0A"/>
    <w:rsid w:val="00F03210"/>
    <w:rsid w:val="00F041AF"/>
    <w:rsid w:val="00F241F5"/>
    <w:rsid w:val="00F272F1"/>
    <w:rsid w:val="00F307C2"/>
    <w:rsid w:val="00F44BD8"/>
    <w:rsid w:val="00F66D13"/>
    <w:rsid w:val="00FA1D46"/>
    <w:rsid w:val="00FA40CD"/>
    <w:rsid w:val="00FA66E1"/>
    <w:rsid w:val="00FC0527"/>
    <w:rsid w:val="00FC2429"/>
    <w:rsid w:val="00FC44EF"/>
    <w:rsid w:val="00FD5D6E"/>
    <w:rsid w:val="00FE7348"/>
    <w:rsid w:val="00FF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2B39"/>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37"/>
    <w:rPr>
      <w:color w:val="0563C1" w:themeColor="hyperlink"/>
      <w:u w:val="single"/>
    </w:rPr>
  </w:style>
  <w:style w:type="character" w:customStyle="1" w:styleId="Heading1Char">
    <w:name w:val="Heading 1 Char"/>
    <w:basedOn w:val="DefaultParagraphFont"/>
    <w:link w:val="Heading1"/>
    <w:uiPriority w:val="9"/>
    <w:rsid w:val="00EE2B39"/>
    <w:rPr>
      <w:rFonts w:ascii="Times New Roman" w:eastAsia="Times New Roman" w:hAnsi="Times New Roman" w:cs="Times New Roman"/>
      <w:b/>
      <w:bCs/>
      <w:caps/>
      <w:sz w:val="24"/>
      <w:szCs w:val="24"/>
      <w:u w:val="single"/>
    </w:rPr>
  </w:style>
  <w:style w:type="paragraph" w:styleId="BodyTextIndent">
    <w:name w:val="Body Text Indent"/>
    <w:basedOn w:val="Normal"/>
    <w:link w:val="BodyTextIndentChar"/>
    <w:uiPriority w:val="99"/>
    <w:semiHidden/>
    <w:rsid w:val="00DC621C"/>
    <w:pPr>
      <w:spacing w:line="480" w:lineRule="auto"/>
      <w:ind w:firstLine="720"/>
    </w:pPr>
    <w:rPr>
      <w:color w:val="000000"/>
      <w:szCs w:val="20"/>
    </w:rPr>
  </w:style>
  <w:style w:type="character" w:customStyle="1" w:styleId="BodyTextIndentChar">
    <w:name w:val="Body Text Indent Char"/>
    <w:basedOn w:val="DefaultParagraphFont"/>
    <w:link w:val="BodyTextIndent"/>
    <w:uiPriority w:val="99"/>
    <w:semiHidden/>
    <w:rsid w:val="00DC621C"/>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rsid w:val="00DC621C"/>
    <w:pPr>
      <w:spacing w:line="480" w:lineRule="auto"/>
      <w:ind w:firstLine="720"/>
    </w:pPr>
    <w:rPr>
      <w:color w:val="000000"/>
      <w:szCs w:val="20"/>
    </w:rPr>
  </w:style>
  <w:style w:type="character" w:customStyle="1" w:styleId="BodyTextIndent2Char">
    <w:name w:val="Body Text Indent 2 Char"/>
    <w:basedOn w:val="DefaultParagraphFont"/>
    <w:link w:val="BodyTextIndent2"/>
    <w:uiPriority w:val="99"/>
    <w:semiHidden/>
    <w:rsid w:val="00DC621C"/>
    <w:rPr>
      <w:rFonts w:ascii="Times New Roman" w:eastAsia="Times New Roman" w:hAnsi="Times New Roman" w:cs="Times New Roman"/>
      <w:color w:val="000000"/>
      <w:sz w:val="24"/>
      <w:szCs w:val="20"/>
    </w:rPr>
  </w:style>
  <w:style w:type="character" w:styleId="UnresolvedMention">
    <w:name w:val="Unresolved Mention"/>
    <w:basedOn w:val="DefaultParagraphFont"/>
    <w:uiPriority w:val="99"/>
    <w:semiHidden/>
    <w:unhideWhenUsed/>
    <w:rsid w:val="00950970"/>
    <w:rPr>
      <w:color w:val="605E5C"/>
      <w:shd w:val="clear" w:color="auto" w:fill="E1DFDD"/>
    </w:rPr>
  </w:style>
  <w:style w:type="paragraph" w:styleId="NormalWeb">
    <w:name w:val="Normal (Web)"/>
    <w:basedOn w:val="Normal"/>
    <w:uiPriority w:val="99"/>
    <w:semiHidden/>
    <w:unhideWhenUsed/>
    <w:rsid w:val="00FF1225"/>
  </w:style>
  <w:style w:type="paragraph" w:styleId="ListParagraph">
    <w:name w:val="List Paragraph"/>
    <w:basedOn w:val="Normal"/>
    <w:uiPriority w:val="34"/>
    <w:qFormat/>
    <w:rsid w:val="00FF1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042">
      <w:bodyDiv w:val="1"/>
      <w:marLeft w:val="0"/>
      <w:marRight w:val="0"/>
      <w:marTop w:val="0"/>
      <w:marBottom w:val="0"/>
      <w:divBdr>
        <w:top w:val="none" w:sz="0" w:space="0" w:color="auto"/>
        <w:left w:val="none" w:sz="0" w:space="0" w:color="auto"/>
        <w:bottom w:val="none" w:sz="0" w:space="0" w:color="auto"/>
        <w:right w:val="none" w:sz="0" w:space="0" w:color="auto"/>
      </w:divBdr>
    </w:div>
    <w:div w:id="119806558">
      <w:bodyDiv w:val="1"/>
      <w:marLeft w:val="0"/>
      <w:marRight w:val="0"/>
      <w:marTop w:val="0"/>
      <w:marBottom w:val="0"/>
      <w:divBdr>
        <w:top w:val="none" w:sz="0" w:space="0" w:color="auto"/>
        <w:left w:val="none" w:sz="0" w:space="0" w:color="auto"/>
        <w:bottom w:val="none" w:sz="0" w:space="0" w:color="auto"/>
        <w:right w:val="none" w:sz="0" w:space="0" w:color="auto"/>
      </w:divBdr>
    </w:div>
    <w:div w:id="149685784">
      <w:bodyDiv w:val="1"/>
      <w:marLeft w:val="0"/>
      <w:marRight w:val="0"/>
      <w:marTop w:val="0"/>
      <w:marBottom w:val="0"/>
      <w:divBdr>
        <w:top w:val="none" w:sz="0" w:space="0" w:color="auto"/>
        <w:left w:val="none" w:sz="0" w:space="0" w:color="auto"/>
        <w:bottom w:val="none" w:sz="0" w:space="0" w:color="auto"/>
        <w:right w:val="none" w:sz="0" w:space="0" w:color="auto"/>
      </w:divBdr>
    </w:div>
    <w:div w:id="196352879">
      <w:bodyDiv w:val="1"/>
      <w:marLeft w:val="0"/>
      <w:marRight w:val="0"/>
      <w:marTop w:val="0"/>
      <w:marBottom w:val="0"/>
      <w:divBdr>
        <w:top w:val="none" w:sz="0" w:space="0" w:color="auto"/>
        <w:left w:val="none" w:sz="0" w:space="0" w:color="auto"/>
        <w:bottom w:val="none" w:sz="0" w:space="0" w:color="auto"/>
        <w:right w:val="none" w:sz="0" w:space="0" w:color="auto"/>
      </w:divBdr>
    </w:div>
    <w:div w:id="203062885">
      <w:bodyDiv w:val="1"/>
      <w:marLeft w:val="0"/>
      <w:marRight w:val="0"/>
      <w:marTop w:val="0"/>
      <w:marBottom w:val="0"/>
      <w:divBdr>
        <w:top w:val="none" w:sz="0" w:space="0" w:color="auto"/>
        <w:left w:val="none" w:sz="0" w:space="0" w:color="auto"/>
        <w:bottom w:val="none" w:sz="0" w:space="0" w:color="auto"/>
        <w:right w:val="none" w:sz="0" w:space="0" w:color="auto"/>
      </w:divBdr>
    </w:div>
    <w:div w:id="296494739">
      <w:bodyDiv w:val="1"/>
      <w:marLeft w:val="0"/>
      <w:marRight w:val="0"/>
      <w:marTop w:val="0"/>
      <w:marBottom w:val="0"/>
      <w:divBdr>
        <w:top w:val="none" w:sz="0" w:space="0" w:color="auto"/>
        <w:left w:val="none" w:sz="0" w:space="0" w:color="auto"/>
        <w:bottom w:val="none" w:sz="0" w:space="0" w:color="auto"/>
        <w:right w:val="none" w:sz="0" w:space="0" w:color="auto"/>
      </w:divBdr>
    </w:div>
    <w:div w:id="491989074">
      <w:bodyDiv w:val="1"/>
      <w:marLeft w:val="0"/>
      <w:marRight w:val="0"/>
      <w:marTop w:val="0"/>
      <w:marBottom w:val="0"/>
      <w:divBdr>
        <w:top w:val="none" w:sz="0" w:space="0" w:color="auto"/>
        <w:left w:val="none" w:sz="0" w:space="0" w:color="auto"/>
        <w:bottom w:val="none" w:sz="0" w:space="0" w:color="auto"/>
        <w:right w:val="none" w:sz="0" w:space="0" w:color="auto"/>
      </w:divBdr>
    </w:div>
    <w:div w:id="527331632">
      <w:bodyDiv w:val="1"/>
      <w:marLeft w:val="0"/>
      <w:marRight w:val="0"/>
      <w:marTop w:val="0"/>
      <w:marBottom w:val="0"/>
      <w:divBdr>
        <w:top w:val="none" w:sz="0" w:space="0" w:color="auto"/>
        <w:left w:val="none" w:sz="0" w:space="0" w:color="auto"/>
        <w:bottom w:val="none" w:sz="0" w:space="0" w:color="auto"/>
        <w:right w:val="none" w:sz="0" w:space="0" w:color="auto"/>
      </w:divBdr>
    </w:div>
    <w:div w:id="736317221">
      <w:bodyDiv w:val="1"/>
      <w:marLeft w:val="0"/>
      <w:marRight w:val="0"/>
      <w:marTop w:val="0"/>
      <w:marBottom w:val="0"/>
      <w:divBdr>
        <w:top w:val="none" w:sz="0" w:space="0" w:color="auto"/>
        <w:left w:val="none" w:sz="0" w:space="0" w:color="auto"/>
        <w:bottom w:val="none" w:sz="0" w:space="0" w:color="auto"/>
        <w:right w:val="none" w:sz="0" w:space="0" w:color="auto"/>
      </w:divBdr>
    </w:div>
    <w:div w:id="769936809">
      <w:bodyDiv w:val="1"/>
      <w:marLeft w:val="0"/>
      <w:marRight w:val="0"/>
      <w:marTop w:val="0"/>
      <w:marBottom w:val="0"/>
      <w:divBdr>
        <w:top w:val="none" w:sz="0" w:space="0" w:color="auto"/>
        <w:left w:val="none" w:sz="0" w:space="0" w:color="auto"/>
        <w:bottom w:val="none" w:sz="0" w:space="0" w:color="auto"/>
        <w:right w:val="none" w:sz="0" w:space="0" w:color="auto"/>
      </w:divBdr>
      <w:divsChild>
        <w:div w:id="867915163">
          <w:marLeft w:val="0"/>
          <w:marRight w:val="0"/>
          <w:marTop w:val="0"/>
          <w:marBottom w:val="0"/>
          <w:divBdr>
            <w:top w:val="none" w:sz="0" w:space="0" w:color="auto"/>
            <w:left w:val="none" w:sz="0" w:space="0" w:color="auto"/>
            <w:bottom w:val="none" w:sz="0" w:space="0" w:color="auto"/>
            <w:right w:val="none" w:sz="0" w:space="0" w:color="auto"/>
          </w:divBdr>
          <w:divsChild>
            <w:div w:id="16256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5177">
      <w:bodyDiv w:val="1"/>
      <w:marLeft w:val="0"/>
      <w:marRight w:val="0"/>
      <w:marTop w:val="0"/>
      <w:marBottom w:val="0"/>
      <w:divBdr>
        <w:top w:val="none" w:sz="0" w:space="0" w:color="auto"/>
        <w:left w:val="none" w:sz="0" w:space="0" w:color="auto"/>
        <w:bottom w:val="none" w:sz="0" w:space="0" w:color="auto"/>
        <w:right w:val="none" w:sz="0" w:space="0" w:color="auto"/>
      </w:divBdr>
    </w:div>
    <w:div w:id="954213522">
      <w:bodyDiv w:val="1"/>
      <w:marLeft w:val="0"/>
      <w:marRight w:val="0"/>
      <w:marTop w:val="0"/>
      <w:marBottom w:val="0"/>
      <w:divBdr>
        <w:top w:val="none" w:sz="0" w:space="0" w:color="auto"/>
        <w:left w:val="none" w:sz="0" w:space="0" w:color="auto"/>
        <w:bottom w:val="none" w:sz="0" w:space="0" w:color="auto"/>
        <w:right w:val="none" w:sz="0" w:space="0" w:color="auto"/>
      </w:divBdr>
      <w:divsChild>
        <w:div w:id="1033191476">
          <w:marLeft w:val="0"/>
          <w:marRight w:val="0"/>
          <w:marTop w:val="0"/>
          <w:marBottom w:val="0"/>
          <w:divBdr>
            <w:top w:val="none" w:sz="0" w:space="0" w:color="auto"/>
            <w:left w:val="none" w:sz="0" w:space="0" w:color="auto"/>
            <w:bottom w:val="none" w:sz="0" w:space="0" w:color="auto"/>
            <w:right w:val="none" w:sz="0" w:space="0" w:color="auto"/>
          </w:divBdr>
          <w:divsChild>
            <w:div w:id="13970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3152">
      <w:bodyDiv w:val="1"/>
      <w:marLeft w:val="0"/>
      <w:marRight w:val="0"/>
      <w:marTop w:val="0"/>
      <w:marBottom w:val="0"/>
      <w:divBdr>
        <w:top w:val="none" w:sz="0" w:space="0" w:color="auto"/>
        <w:left w:val="none" w:sz="0" w:space="0" w:color="auto"/>
        <w:bottom w:val="none" w:sz="0" w:space="0" w:color="auto"/>
        <w:right w:val="none" w:sz="0" w:space="0" w:color="auto"/>
      </w:divBdr>
    </w:div>
    <w:div w:id="1078211648">
      <w:bodyDiv w:val="1"/>
      <w:marLeft w:val="0"/>
      <w:marRight w:val="0"/>
      <w:marTop w:val="0"/>
      <w:marBottom w:val="0"/>
      <w:divBdr>
        <w:top w:val="none" w:sz="0" w:space="0" w:color="auto"/>
        <w:left w:val="none" w:sz="0" w:space="0" w:color="auto"/>
        <w:bottom w:val="none" w:sz="0" w:space="0" w:color="auto"/>
        <w:right w:val="none" w:sz="0" w:space="0" w:color="auto"/>
      </w:divBdr>
      <w:divsChild>
        <w:div w:id="1689986409">
          <w:marLeft w:val="0"/>
          <w:marRight w:val="0"/>
          <w:marTop w:val="0"/>
          <w:marBottom w:val="0"/>
          <w:divBdr>
            <w:top w:val="none" w:sz="0" w:space="0" w:color="auto"/>
            <w:left w:val="none" w:sz="0" w:space="0" w:color="auto"/>
            <w:bottom w:val="none" w:sz="0" w:space="0" w:color="auto"/>
            <w:right w:val="none" w:sz="0" w:space="0" w:color="auto"/>
          </w:divBdr>
          <w:divsChild>
            <w:div w:id="1464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1327">
      <w:bodyDiv w:val="1"/>
      <w:marLeft w:val="0"/>
      <w:marRight w:val="0"/>
      <w:marTop w:val="0"/>
      <w:marBottom w:val="0"/>
      <w:divBdr>
        <w:top w:val="none" w:sz="0" w:space="0" w:color="auto"/>
        <w:left w:val="none" w:sz="0" w:space="0" w:color="auto"/>
        <w:bottom w:val="none" w:sz="0" w:space="0" w:color="auto"/>
        <w:right w:val="none" w:sz="0" w:space="0" w:color="auto"/>
      </w:divBdr>
      <w:divsChild>
        <w:div w:id="2001544233">
          <w:marLeft w:val="0"/>
          <w:marRight w:val="0"/>
          <w:marTop w:val="0"/>
          <w:marBottom w:val="0"/>
          <w:divBdr>
            <w:top w:val="none" w:sz="0" w:space="0" w:color="auto"/>
            <w:left w:val="none" w:sz="0" w:space="0" w:color="auto"/>
            <w:bottom w:val="none" w:sz="0" w:space="0" w:color="auto"/>
            <w:right w:val="none" w:sz="0" w:space="0" w:color="auto"/>
          </w:divBdr>
          <w:divsChild>
            <w:div w:id="280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277">
      <w:bodyDiv w:val="1"/>
      <w:marLeft w:val="0"/>
      <w:marRight w:val="0"/>
      <w:marTop w:val="0"/>
      <w:marBottom w:val="0"/>
      <w:divBdr>
        <w:top w:val="none" w:sz="0" w:space="0" w:color="auto"/>
        <w:left w:val="none" w:sz="0" w:space="0" w:color="auto"/>
        <w:bottom w:val="none" w:sz="0" w:space="0" w:color="auto"/>
        <w:right w:val="none" w:sz="0" w:space="0" w:color="auto"/>
      </w:divBdr>
    </w:div>
    <w:div w:id="1106534327">
      <w:bodyDiv w:val="1"/>
      <w:marLeft w:val="0"/>
      <w:marRight w:val="0"/>
      <w:marTop w:val="0"/>
      <w:marBottom w:val="0"/>
      <w:divBdr>
        <w:top w:val="none" w:sz="0" w:space="0" w:color="auto"/>
        <w:left w:val="none" w:sz="0" w:space="0" w:color="auto"/>
        <w:bottom w:val="none" w:sz="0" w:space="0" w:color="auto"/>
        <w:right w:val="none" w:sz="0" w:space="0" w:color="auto"/>
      </w:divBdr>
      <w:divsChild>
        <w:div w:id="31274286">
          <w:marLeft w:val="0"/>
          <w:marRight w:val="0"/>
          <w:marTop w:val="0"/>
          <w:marBottom w:val="0"/>
          <w:divBdr>
            <w:top w:val="none" w:sz="0" w:space="0" w:color="auto"/>
            <w:left w:val="none" w:sz="0" w:space="0" w:color="auto"/>
            <w:bottom w:val="none" w:sz="0" w:space="0" w:color="auto"/>
            <w:right w:val="none" w:sz="0" w:space="0" w:color="auto"/>
          </w:divBdr>
          <w:divsChild>
            <w:div w:id="19345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8816">
      <w:bodyDiv w:val="1"/>
      <w:marLeft w:val="0"/>
      <w:marRight w:val="0"/>
      <w:marTop w:val="0"/>
      <w:marBottom w:val="0"/>
      <w:divBdr>
        <w:top w:val="none" w:sz="0" w:space="0" w:color="auto"/>
        <w:left w:val="none" w:sz="0" w:space="0" w:color="auto"/>
        <w:bottom w:val="none" w:sz="0" w:space="0" w:color="auto"/>
        <w:right w:val="none" w:sz="0" w:space="0" w:color="auto"/>
      </w:divBdr>
    </w:div>
    <w:div w:id="1540820457">
      <w:bodyDiv w:val="1"/>
      <w:marLeft w:val="0"/>
      <w:marRight w:val="0"/>
      <w:marTop w:val="0"/>
      <w:marBottom w:val="0"/>
      <w:divBdr>
        <w:top w:val="none" w:sz="0" w:space="0" w:color="auto"/>
        <w:left w:val="none" w:sz="0" w:space="0" w:color="auto"/>
        <w:bottom w:val="none" w:sz="0" w:space="0" w:color="auto"/>
        <w:right w:val="none" w:sz="0" w:space="0" w:color="auto"/>
      </w:divBdr>
    </w:div>
    <w:div w:id="1707411551">
      <w:bodyDiv w:val="1"/>
      <w:marLeft w:val="0"/>
      <w:marRight w:val="0"/>
      <w:marTop w:val="0"/>
      <w:marBottom w:val="0"/>
      <w:divBdr>
        <w:top w:val="none" w:sz="0" w:space="0" w:color="auto"/>
        <w:left w:val="none" w:sz="0" w:space="0" w:color="auto"/>
        <w:bottom w:val="none" w:sz="0" w:space="0" w:color="auto"/>
        <w:right w:val="none" w:sz="0" w:space="0" w:color="auto"/>
      </w:divBdr>
    </w:div>
    <w:div w:id="1977567583">
      <w:bodyDiv w:val="1"/>
      <w:marLeft w:val="0"/>
      <w:marRight w:val="0"/>
      <w:marTop w:val="0"/>
      <w:marBottom w:val="0"/>
      <w:divBdr>
        <w:top w:val="none" w:sz="0" w:space="0" w:color="auto"/>
        <w:left w:val="none" w:sz="0" w:space="0" w:color="auto"/>
        <w:bottom w:val="none" w:sz="0" w:space="0" w:color="auto"/>
        <w:right w:val="none" w:sz="0" w:space="0" w:color="auto"/>
      </w:divBdr>
    </w:div>
    <w:div w:id="1988046471">
      <w:bodyDiv w:val="1"/>
      <w:marLeft w:val="0"/>
      <w:marRight w:val="0"/>
      <w:marTop w:val="0"/>
      <w:marBottom w:val="0"/>
      <w:divBdr>
        <w:top w:val="none" w:sz="0" w:space="0" w:color="auto"/>
        <w:left w:val="none" w:sz="0" w:space="0" w:color="auto"/>
        <w:bottom w:val="none" w:sz="0" w:space="0" w:color="auto"/>
        <w:right w:val="none" w:sz="0" w:space="0" w:color="auto"/>
      </w:divBdr>
    </w:div>
    <w:div w:id="2026131583">
      <w:bodyDiv w:val="1"/>
      <w:marLeft w:val="0"/>
      <w:marRight w:val="0"/>
      <w:marTop w:val="0"/>
      <w:marBottom w:val="0"/>
      <w:divBdr>
        <w:top w:val="none" w:sz="0" w:space="0" w:color="auto"/>
        <w:left w:val="none" w:sz="0" w:space="0" w:color="auto"/>
        <w:bottom w:val="none" w:sz="0" w:space="0" w:color="auto"/>
        <w:right w:val="none" w:sz="0" w:space="0" w:color="auto"/>
      </w:divBdr>
    </w:div>
    <w:div w:id="2079668859">
      <w:bodyDiv w:val="1"/>
      <w:marLeft w:val="0"/>
      <w:marRight w:val="0"/>
      <w:marTop w:val="0"/>
      <w:marBottom w:val="0"/>
      <w:divBdr>
        <w:top w:val="none" w:sz="0" w:space="0" w:color="auto"/>
        <w:left w:val="none" w:sz="0" w:space="0" w:color="auto"/>
        <w:bottom w:val="none" w:sz="0" w:space="0" w:color="auto"/>
        <w:right w:val="none" w:sz="0" w:space="0" w:color="auto"/>
      </w:divBdr>
      <w:divsChild>
        <w:div w:id="570046875">
          <w:marLeft w:val="0"/>
          <w:marRight w:val="0"/>
          <w:marTop w:val="0"/>
          <w:marBottom w:val="0"/>
          <w:divBdr>
            <w:top w:val="none" w:sz="0" w:space="0" w:color="auto"/>
            <w:left w:val="none" w:sz="0" w:space="0" w:color="auto"/>
            <w:bottom w:val="none" w:sz="0" w:space="0" w:color="auto"/>
            <w:right w:val="none" w:sz="0" w:space="0" w:color="auto"/>
          </w:divBdr>
          <w:divsChild>
            <w:div w:id="2072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5</Pages>
  <Words>1211</Words>
  <Characters>7162</Characters>
  <Application>Microsoft Office Word</Application>
  <DocSecurity>0</DocSecurity>
  <Lines>265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21</cp:revision>
  <cp:lastPrinted>2023-06-01T17:54:00Z</cp:lastPrinted>
  <dcterms:created xsi:type="dcterms:W3CDTF">2023-12-01T18:06:00Z</dcterms:created>
  <dcterms:modified xsi:type="dcterms:W3CDTF">2026-03-27T20:02:00Z</dcterms:modified>
</cp:coreProperties>
</file>