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D1E3" w14:textId="77777777" w:rsidR="00D12C4A" w:rsidRDefault="00D12C4A" w:rsidP="00D12C4A">
      <w:pPr>
        <w:spacing w:after="120" w:line="240" w:lineRule="auto"/>
        <w:jc w:val="center"/>
        <w:rPr>
          <w:highlight w:val="yellow"/>
        </w:rPr>
      </w:pPr>
      <w:r>
        <w:rPr>
          <w:noProof/>
        </w:rPr>
        <w:drawing>
          <wp:inline distT="0" distB="0" distL="0" distR="0" wp14:anchorId="587CB421" wp14:editId="43174B2D">
            <wp:extent cx="2514600" cy="895350"/>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7"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502FE54E" w14:textId="68880674" w:rsidR="00D12C4A" w:rsidRPr="00E92A0A" w:rsidRDefault="00D12C4A" w:rsidP="00D12C4A">
      <w:pPr>
        <w:spacing w:after="0"/>
        <w:rPr>
          <w:rFonts w:ascii="Aptos Serif" w:eastAsia="Times New Roman" w:hAnsi="Aptos Serif" w:cs="Aptos Serif"/>
          <w:smallCaps/>
          <w:spacing w:val="4"/>
          <w:sz w:val="20"/>
          <w:szCs w:val="20"/>
        </w:rPr>
      </w:pPr>
      <w:r w:rsidRPr="00E92A0A">
        <w:rPr>
          <w:rFonts w:ascii="Aptos Serif" w:hAnsi="Aptos Serif" w:cs="Aptos Serif"/>
          <w:noProof/>
        </w:rPr>
        <mc:AlternateContent>
          <mc:Choice Requires="wpg">
            <w:drawing>
              <wp:anchor distT="0" distB="0" distL="0" distR="0" simplePos="0" relativeHeight="251659264" behindDoc="1" locked="0" layoutInCell="1" allowOverlap="1" wp14:anchorId="6FABDA7B" wp14:editId="1FC881FA">
                <wp:simplePos x="0" y="0"/>
                <wp:positionH relativeFrom="margin">
                  <wp:posOffset>-152400</wp:posOffset>
                </wp:positionH>
                <wp:positionV relativeFrom="paragraph">
                  <wp:posOffset>187960</wp:posOffset>
                </wp:positionV>
                <wp:extent cx="6229350" cy="19050"/>
                <wp:effectExtent l="0" t="0" r="19050" b="190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0" cy="19050"/>
                          <a:chOff x="0" y="0"/>
                          <a:chExt cx="6229350" cy="19050"/>
                        </a:xfrm>
                        <a:solidFill>
                          <a:schemeClr val="accent3">
                            <a:lumMod val="50000"/>
                          </a:schemeClr>
                        </a:solidFill>
                      </wpg:grpSpPr>
                      <wps:wsp>
                        <wps:cNvPr id="9"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10"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11"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12"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13"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4"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5"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7D8577" id="Group 8" o:spid="_x0000_s1026" style="position:absolute;margin-left:-12pt;margin-top:14.8pt;width:490.5pt;height:1.5pt;z-index:-251657216;mso-wrap-distance-left:0;mso-wrap-distance-right:0;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" path="m6229350,r-3048,l,,,3048r6226302,l6229350,3048r,-3048xe" filled="f" stroked="f">
                  <v:path arrowok="t"/>
                </v:shape>
                <w10:wrap type="topAndBottom" anchorx="margin"/>
              </v:group>
            </w:pict>
          </mc:Fallback>
        </mc:AlternateContent>
      </w:r>
      <w:r w:rsidRPr="00E92A0A">
        <w:rPr>
          <w:rFonts w:ascii="Aptos Serif" w:eastAsia="Times New Roman" w:hAnsi="Aptos Serif" w:cs="Aptos Serif"/>
          <w:smallCaps/>
          <w:spacing w:val="4"/>
          <w:sz w:val="20"/>
          <w:szCs w:val="20"/>
        </w:rPr>
        <w:t>222 W. Gregory Blvd., Ste. 210, Kansas City, MO 64114</w:t>
      </w:r>
      <w:r>
        <w:rPr>
          <w:rFonts w:ascii="Aptos Serif" w:eastAsia="Times New Roman" w:hAnsi="Aptos Serif" w:cs="Aptos Serif"/>
          <w:smallCaps/>
          <w:spacing w:val="4"/>
          <w:sz w:val="20"/>
          <w:szCs w:val="20"/>
        </w:rPr>
        <w:t xml:space="preserve"> </w:t>
      </w:r>
      <w:r w:rsidRPr="00E92A0A">
        <w:rPr>
          <w:rFonts w:ascii="Aptos Serif" w:eastAsia="Times New Roman" w:hAnsi="Aptos Serif" w:cs="Aptos Serif"/>
          <w:smallCaps/>
          <w:spacing w:val="4"/>
          <w:sz w:val="20"/>
          <w:szCs w:val="20"/>
        </w:rPr>
        <w:t xml:space="preserve"> |</w:t>
      </w:r>
      <w:r>
        <w:rPr>
          <w:rFonts w:ascii="Aptos Serif" w:eastAsia="Times New Roman" w:hAnsi="Aptos Serif" w:cs="Aptos Serif"/>
          <w:smallCaps/>
          <w:spacing w:val="4"/>
          <w:sz w:val="20"/>
          <w:szCs w:val="20"/>
        </w:rPr>
        <w:t xml:space="preserve"> </w:t>
      </w:r>
      <w:r>
        <w:rPr>
          <w:rFonts w:ascii="Aptos Serif" w:eastAsia="Times New Roman" w:hAnsi="Aptos Serif" w:cs="Aptos Serif"/>
          <w:smallCaps/>
          <w:spacing w:val="4"/>
          <w:sz w:val="20"/>
          <w:szCs w:val="20"/>
        </w:rPr>
        <w:t xml:space="preserve"> </w:t>
      </w:r>
      <w:r w:rsidRPr="00E92A0A">
        <w:rPr>
          <w:rFonts w:ascii="Aptos Serif" w:eastAsia="Times New Roman" w:hAnsi="Aptos Serif" w:cs="Aptos Serif"/>
          <w:smallCaps/>
          <w:spacing w:val="4"/>
          <w:sz w:val="20"/>
          <w:szCs w:val="20"/>
        </w:rPr>
        <w:t>816</w:t>
      </w:r>
      <w:r>
        <w:rPr>
          <w:rFonts w:ascii="Aptos Serif" w:eastAsia="Times New Roman" w:hAnsi="Aptos Serif" w:cs="Aptos Serif"/>
          <w:smallCaps/>
          <w:spacing w:val="4"/>
          <w:sz w:val="20"/>
          <w:szCs w:val="20"/>
        </w:rPr>
        <w:t>-</w:t>
      </w:r>
      <w:r w:rsidRPr="00E92A0A">
        <w:rPr>
          <w:rFonts w:ascii="Aptos Serif" w:eastAsia="Times New Roman" w:hAnsi="Aptos Serif" w:cs="Aptos Serif"/>
          <w:smallCaps/>
          <w:spacing w:val="4"/>
          <w:sz w:val="20"/>
          <w:szCs w:val="20"/>
        </w:rPr>
        <w:t>822-4041</w:t>
      </w:r>
      <w:r>
        <w:rPr>
          <w:rFonts w:ascii="Aptos Serif" w:eastAsia="Times New Roman" w:hAnsi="Aptos Serif" w:cs="Aptos Serif"/>
          <w:smallCaps/>
          <w:spacing w:val="4"/>
          <w:sz w:val="20"/>
          <w:szCs w:val="20"/>
        </w:rPr>
        <w:t xml:space="preserve"> </w:t>
      </w:r>
      <w:r>
        <w:rPr>
          <w:rFonts w:ascii="Aptos Serif" w:eastAsia="Times New Roman" w:hAnsi="Aptos Serif" w:cs="Aptos Serif"/>
          <w:smallCaps/>
          <w:spacing w:val="4"/>
          <w:sz w:val="20"/>
          <w:szCs w:val="20"/>
        </w:rPr>
        <w:t xml:space="preserve"> </w:t>
      </w:r>
      <w:r w:rsidRPr="001D129D">
        <w:rPr>
          <w:rFonts w:ascii="Aptos Serif" w:eastAsia="Times New Roman" w:hAnsi="Aptos Serif" w:cs="Aptos Serif"/>
          <w:smallCaps/>
          <w:spacing w:val="4"/>
          <w:sz w:val="20"/>
          <w:szCs w:val="20"/>
        </w:rPr>
        <w:t>|</w:t>
      </w:r>
      <w:r>
        <w:rPr>
          <w:rFonts w:ascii="Aptos Serif" w:eastAsia="Times New Roman" w:hAnsi="Aptos Serif" w:cs="Aptos Serif"/>
          <w:smallCaps/>
          <w:spacing w:val="4"/>
          <w:sz w:val="20"/>
          <w:szCs w:val="20"/>
        </w:rPr>
        <w:t xml:space="preserve">  </w:t>
      </w:r>
      <w:r w:rsidRPr="00427F6B">
        <w:rPr>
          <w:rFonts w:ascii="Aptos Serif" w:eastAsia="Times New Roman" w:hAnsi="Aptos Serif" w:cs="Aptos Serif"/>
          <w:smallCaps/>
          <w:spacing w:val="4"/>
          <w:sz w:val="20"/>
          <w:szCs w:val="20"/>
        </w:rPr>
        <w:t>www.</w:t>
      </w:r>
      <w:r>
        <w:rPr>
          <w:rFonts w:ascii="Aptos Serif" w:eastAsia="Times New Roman" w:hAnsi="Aptos Serif" w:cs="Aptos Serif"/>
          <w:smallCaps/>
          <w:spacing w:val="4"/>
          <w:sz w:val="20"/>
          <w:szCs w:val="20"/>
        </w:rPr>
        <w:t>C</w:t>
      </w:r>
      <w:r w:rsidRPr="00427F6B">
        <w:rPr>
          <w:rFonts w:ascii="Aptos Serif" w:eastAsia="Times New Roman" w:hAnsi="Aptos Serif" w:cs="Aptos Serif"/>
          <w:smallCaps/>
          <w:spacing w:val="4"/>
          <w:sz w:val="20"/>
          <w:szCs w:val="20"/>
        </w:rPr>
        <w:t>allahan</w:t>
      </w:r>
      <w:r>
        <w:rPr>
          <w:rFonts w:ascii="Aptos Serif" w:eastAsia="Times New Roman" w:hAnsi="Aptos Serif" w:cs="Aptos Serif"/>
          <w:smallCaps/>
          <w:spacing w:val="4"/>
          <w:sz w:val="20"/>
          <w:szCs w:val="20"/>
        </w:rPr>
        <w:t>L</w:t>
      </w:r>
      <w:r w:rsidRPr="00427F6B">
        <w:rPr>
          <w:rFonts w:ascii="Aptos Serif" w:eastAsia="Times New Roman" w:hAnsi="Aptos Serif" w:cs="Aptos Serif"/>
          <w:smallCaps/>
          <w:spacing w:val="4"/>
          <w:sz w:val="20"/>
          <w:szCs w:val="20"/>
        </w:rPr>
        <w:t>aw</w:t>
      </w:r>
      <w:r>
        <w:rPr>
          <w:rFonts w:ascii="Aptos Serif" w:eastAsia="Times New Roman" w:hAnsi="Aptos Serif" w:cs="Aptos Serif"/>
          <w:smallCaps/>
          <w:spacing w:val="4"/>
          <w:sz w:val="20"/>
          <w:szCs w:val="20"/>
        </w:rPr>
        <w:t>KC</w:t>
      </w:r>
      <w:r w:rsidRPr="00427F6B">
        <w:rPr>
          <w:rFonts w:ascii="Aptos Serif" w:eastAsia="Times New Roman" w:hAnsi="Aptos Serif" w:cs="Aptos Serif"/>
          <w:smallCaps/>
          <w:spacing w:val="4"/>
          <w:sz w:val="20"/>
          <w:szCs w:val="20"/>
        </w:rPr>
        <w:t>.com</w:t>
      </w:r>
    </w:p>
    <w:p w14:paraId="5C0DEABC" w14:textId="063EAE3D" w:rsidR="00AC286D" w:rsidRPr="004F074C" w:rsidRDefault="00802CAD" w:rsidP="004F074C">
      <w:pPr>
        <w:pStyle w:val="Heading1"/>
        <w:jc w:val="center"/>
      </w:pPr>
      <w:r w:rsidRPr="00802CAD">
        <w:t>General Information</w:t>
      </w:r>
      <w:r>
        <w:t xml:space="preserve"> Relating to </w:t>
      </w:r>
      <w:r w:rsidR="000D47C6">
        <w:t>Debt Defense</w:t>
      </w:r>
      <w:r>
        <w:t xml:space="preserve"> Case</w:t>
      </w:r>
      <w:r w:rsidR="000D47C6">
        <w:t>s</w:t>
      </w:r>
    </w:p>
    <w:p w14:paraId="75284221" w14:textId="28D88DE7" w:rsidR="00D12C4A" w:rsidRDefault="00D12C4A" w:rsidP="001C04FE">
      <w:pPr>
        <w:jc w:val="both"/>
        <w:rPr>
          <w:rFonts w:ascii="Aptos" w:hAnsi="Aptos"/>
        </w:rPr>
      </w:pPr>
      <w:r>
        <w:rPr>
          <w:rFonts w:ascii="Aptos" w:hAnsi="Aptos"/>
        </w:rPr>
        <w:t>Welcome to the Callahan Law Firm, we are consumer protection attorney</w:t>
      </w:r>
      <w:r w:rsidR="000D47C6">
        <w:rPr>
          <w:rFonts w:ascii="Aptos" w:hAnsi="Aptos"/>
        </w:rPr>
        <w:t>s</w:t>
      </w:r>
      <w:r>
        <w:rPr>
          <w:rFonts w:ascii="Aptos" w:hAnsi="Aptos"/>
        </w:rPr>
        <w:t xml:space="preserve"> that are passionate about helping our clients defend and exercise their legal rights.  To help you understand what to expect in your case with our firm, we have prepared this information sheet to breakdown the stages of </w:t>
      </w:r>
      <w:r>
        <w:rPr>
          <w:rFonts w:ascii="Aptos" w:hAnsi="Aptos"/>
        </w:rPr>
        <w:t xml:space="preserve">typical </w:t>
      </w:r>
      <w:r>
        <w:rPr>
          <w:rFonts w:ascii="Aptos" w:hAnsi="Aptos"/>
        </w:rPr>
        <w:t xml:space="preserve">a consumer debt defense case.  Although this is only a general roadmap and every case is individual, we hope that this guide provides some helpful context. </w:t>
      </w:r>
    </w:p>
    <w:p w14:paraId="7ACA9F4C" w14:textId="5C3F33FB" w:rsidR="00AC286D" w:rsidRPr="00855473" w:rsidRDefault="00D12C4A" w:rsidP="00855473">
      <w:pPr>
        <w:pStyle w:val="Heading2"/>
        <w:jc w:val="both"/>
        <w:rPr>
          <w:rFonts w:ascii="Aptos" w:hAnsi="Aptos"/>
          <w:u w:val="single"/>
        </w:rPr>
      </w:pPr>
      <w:r>
        <w:rPr>
          <w:rFonts w:ascii="Aptos" w:hAnsi="Aptos"/>
        </w:rPr>
        <w:t>Case Filing and Service</w:t>
      </w:r>
    </w:p>
    <w:p w14:paraId="52FDF871" w14:textId="39013390" w:rsidR="00401A35" w:rsidRDefault="00D12C4A" w:rsidP="001C04FE">
      <w:pPr>
        <w:pStyle w:val="ListParagraph"/>
        <w:jc w:val="both"/>
        <w:rPr>
          <w:rFonts w:ascii="Aptos" w:hAnsi="Aptos"/>
        </w:rPr>
      </w:pPr>
      <w:r>
        <w:rPr>
          <w:rFonts w:ascii="Aptos" w:hAnsi="Aptos"/>
        </w:rPr>
        <w:t xml:space="preserve">A civil debt defense lawsuit is initiated by the filing of a Petition </w:t>
      </w:r>
      <w:r w:rsidR="00401A35">
        <w:rPr>
          <w:rFonts w:ascii="Aptos" w:hAnsi="Aptos"/>
        </w:rPr>
        <w:t xml:space="preserve">(also referred to as a complaint) by the Plaintiff.   </w:t>
      </w:r>
      <w:r w:rsidR="00371E2F">
        <w:rPr>
          <w:rFonts w:ascii="Aptos" w:hAnsi="Aptos"/>
        </w:rPr>
        <w:t xml:space="preserve">The Petition then needs to be served </w:t>
      </w:r>
      <w:proofErr w:type="gramStart"/>
      <w:r w:rsidR="00371E2F">
        <w:rPr>
          <w:rFonts w:ascii="Aptos" w:hAnsi="Aptos"/>
        </w:rPr>
        <w:t>on</w:t>
      </w:r>
      <w:proofErr w:type="gramEnd"/>
      <w:r w:rsidR="00371E2F">
        <w:rPr>
          <w:rFonts w:ascii="Aptos" w:hAnsi="Aptos"/>
        </w:rPr>
        <w:t xml:space="preserve"> a Defendant, with a summons telling the Defendant where and when to appear in Court. </w:t>
      </w:r>
    </w:p>
    <w:p w14:paraId="695A6C29" w14:textId="77777777" w:rsidR="00401A35" w:rsidRDefault="00401A35" w:rsidP="001C04FE">
      <w:pPr>
        <w:pStyle w:val="ListParagraph"/>
        <w:jc w:val="both"/>
        <w:rPr>
          <w:rFonts w:ascii="Aptos" w:hAnsi="Aptos"/>
        </w:rPr>
      </w:pPr>
    </w:p>
    <w:p w14:paraId="5AF47148" w14:textId="36248AFE" w:rsidR="00D06D7A" w:rsidRPr="00371E2F" w:rsidRDefault="00401A35" w:rsidP="009E2BDF">
      <w:pPr>
        <w:pStyle w:val="ListParagraph"/>
        <w:contextualSpacing w:val="0"/>
        <w:jc w:val="both"/>
        <w:rPr>
          <w:rFonts w:ascii="Aptos" w:hAnsi="Aptos"/>
        </w:rPr>
      </w:pPr>
      <w:r>
        <w:rPr>
          <w:rFonts w:ascii="Aptos" w:hAnsi="Aptos"/>
        </w:rPr>
        <w:t xml:space="preserve">If </w:t>
      </w:r>
      <w:r w:rsidR="000D47C6">
        <w:rPr>
          <w:rFonts w:ascii="Aptos" w:hAnsi="Aptos"/>
        </w:rPr>
        <w:t>you</w:t>
      </w:r>
      <w:r>
        <w:rPr>
          <w:rFonts w:ascii="Aptos" w:hAnsi="Aptos"/>
        </w:rPr>
        <w:t xml:space="preserve"> do not wish to be served, you can waive your right to be served through signing and filing a waiver of service with the Court.  Although this does not mean that Plaintiff will stop all attempts to serve you, waiving service means that Plaintiff no longer needs to serve you. </w:t>
      </w:r>
    </w:p>
    <w:p w14:paraId="1A4E21C9" w14:textId="308291E2" w:rsidR="00D06D7A" w:rsidRPr="00401A35" w:rsidRDefault="00D06D7A" w:rsidP="00401A35">
      <w:pPr>
        <w:pStyle w:val="ListParagraph"/>
        <w:jc w:val="both"/>
        <w:rPr>
          <w:rFonts w:ascii="Aptos" w:hAnsi="Aptos"/>
        </w:rPr>
      </w:pPr>
      <w:r>
        <w:rPr>
          <w:rFonts w:ascii="Aptos" w:hAnsi="Aptos"/>
        </w:rPr>
        <w:t xml:space="preserve">A Defendant must either be served, or waive service, before the first court date or the Court will continue the first court date to a later date and allow the Plaintiff additional time for service.  </w:t>
      </w:r>
    </w:p>
    <w:p w14:paraId="5B1FBF7D" w14:textId="1FCCC284" w:rsidR="001A1274" w:rsidRPr="00722164" w:rsidRDefault="00722164" w:rsidP="00722164">
      <w:pPr>
        <w:pStyle w:val="Heading2"/>
        <w:jc w:val="both"/>
        <w:rPr>
          <w:rFonts w:ascii="Aptos" w:hAnsi="Aptos"/>
          <w:u w:val="single"/>
        </w:rPr>
      </w:pPr>
      <w:r w:rsidRPr="00722164">
        <w:rPr>
          <w:rFonts w:ascii="Aptos" w:hAnsi="Aptos"/>
        </w:rPr>
        <w:t>F</w:t>
      </w:r>
      <w:r w:rsidR="00401A35">
        <w:rPr>
          <w:rFonts w:ascii="Aptos" w:hAnsi="Aptos"/>
        </w:rPr>
        <w:t xml:space="preserve">irst Court Date </w:t>
      </w:r>
    </w:p>
    <w:p w14:paraId="7CE53C56" w14:textId="31228400" w:rsidR="00453B74" w:rsidRPr="00062C7D" w:rsidRDefault="00D06D7A" w:rsidP="00062C7D">
      <w:pPr>
        <w:pStyle w:val="ListParagraph"/>
        <w:contextualSpacing w:val="0"/>
        <w:jc w:val="both"/>
        <w:rPr>
          <w:rFonts w:ascii="Aptos" w:hAnsi="Aptos"/>
        </w:rPr>
      </w:pPr>
      <w:r>
        <w:rPr>
          <w:rFonts w:ascii="Aptos" w:hAnsi="Aptos"/>
        </w:rPr>
        <w:t>Once properly served</w:t>
      </w:r>
      <w:r w:rsidR="001E31FD">
        <w:rPr>
          <w:rFonts w:ascii="Aptos" w:hAnsi="Aptos"/>
        </w:rPr>
        <w:t>, a Defendant is required to respond to the lawsuit</w:t>
      </w:r>
      <w:r w:rsidR="00062C7D">
        <w:rPr>
          <w:rFonts w:ascii="Aptos" w:hAnsi="Aptos"/>
        </w:rPr>
        <w:t xml:space="preserve"> to avoid a default judgment.  This response can be appearing in Court, filing answer, or both depending on what the law relating to a specific </w:t>
      </w:r>
      <w:r w:rsidR="00062C7D">
        <w:rPr>
          <w:rFonts w:ascii="Aptos" w:hAnsi="Aptos"/>
        </w:rPr>
        <w:t xml:space="preserve">Court </w:t>
      </w:r>
      <w:r w:rsidR="00062C7D">
        <w:rPr>
          <w:rFonts w:ascii="Aptos" w:hAnsi="Aptos"/>
        </w:rPr>
        <w:t xml:space="preserve">requires. </w:t>
      </w:r>
    </w:p>
    <w:p w14:paraId="37311847" w14:textId="31DA2A9E" w:rsidR="00453B74" w:rsidRDefault="00453B74" w:rsidP="00401A35">
      <w:pPr>
        <w:pStyle w:val="ListParagraph"/>
        <w:jc w:val="both"/>
        <w:rPr>
          <w:rFonts w:ascii="Aptos" w:hAnsi="Aptos"/>
        </w:rPr>
      </w:pPr>
      <w:r>
        <w:rPr>
          <w:rFonts w:ascii="Aptos" w:hAnsi="Aptos"/>
        </w:rPr>
        <w:t xml:space="preserve">The </w:t>
      </w:r>
      <w:r w:rsidR="00062C7D">
        <w:rPr>
          <w:rFonts w:ascii="Aptos" w:hAnsi="Aptos"/>
        </w:rPr>
        <w:t>purpose</w:t>
      </w:r>
      <w:r>
        <w:rPr>
          <w:rFonts w:ascii="Aptos" w:hAnsi="Aptos"/>
        </w:rPr>
        <w:t xml:space="preserve"> of the first court date or the answer is to determine whether the Defendant agrees or disputes Plaintiff’s claim.  If the Defendant does not respond, a default judgment will be entered.  If the Defendant responds and agrees to the </w:t>
      </w:r>
      <w:proofErr w:type="gramStart"/>
      <w:r>
        <w:rPr>
          <w:rFonts w:ascii="Aptos" w:hAnsi="Aptos"/>
        </w:rPr>
        <w:t>claim</w:t>
      </w:r>
      <w:proofErr w:type="gramEnd"/>
      <w:r>
        <w:rPr>
          <w:rFonts w:ascii="Aptos" w:hAnsi="Aptos"/>
        </w:rPr>
        <w:t xml:space="preserve"> then a consent judgment can be entered.  If the Defendant disputes the case, then the case will be continued, or set for a trial.  </w:t>
      </w:r>
    </w:p>
    <w:p w14:paraId="5F313302" w14:textId="77777777" w:rsidR="001E31FD" w:rsidRDefault="001E31FD" w:rsidP="00401A35">
      <w:pPr>
        <w:pStyle w:val="ListParagraph"/>
        <w:jc w:val="both"/>
        <w:rPr>
          <w:rFonts w:ascii="Aptos" w:hAnsi="Aptos"/>
        </w:rPr>
      </w:pPr>
    </w:p>
    <w:p w14:paraId="3ACFDFED" w14:textId="0A03767C" w:rsidR="00401A35" w:rsidRDefault="00062C7D" w:rsidP="00401A35">
      <w:pPr>
        <w:pStyle w:val="ListParagraph"/>
        <w:jc w:val="both"/>
        <w:rPr>
          <w:rFonts w:ascii="Aptos" w:hAnsi="Aptos"/>
        </w:rPr>
      </w:pPr>
      <w:r>
        <w:rPr>
          <w:rFonts w:ascii="Aptos" w:hAnsi="Aptos"/>
        </w:rPr>
        <w:t>M</w:t>
      </w:r>
      <w:r w:rsidR="00453B74">
        <w:rPr>
          <w:rFonts w:ascii="Aptos" w:hAnsi="Aptos"/>
        </w:rPr>
        <w:t xml:space="preserve">ost judges will grant continuances to </w:t>
      </w:r>
      <w:r>
        <w:rPr>
          <w:rFonts w:ascii="Aptos" w:hAnsi="Aptos"/>
        </w:rPr>
        <w:t>future</w:t>
      </w:r>
      <w:r w:rsidR="00453B74">
        <w:rPr>
          <w:rFonts w:ascii="Aptos" w:hAnsi="Aptos"/>
        </w:rPr>
        <w:t xml:space="preserve"> status conferences for a few of the hearings prior to setting the case for trial. </w:t>
      </w:r>
    </w:p>
    <w:p w14:paraId="1E5858E0" w14:textId="643BA00A" w:rsidR="001A1274" w:rsidRPr="00722164" w:rsidRDefault="00453B74" w:rsidP="00722164">
      <w:pPr>
        <w:pStyle w:val="Heading2"/>
        <w:jc w:val="both"/>
        <w:rPr>
          <w:rFonts w:ascii="Aptos" w:hAnsi="Aptos"/>
          <w:u w:val="single"/>
        </w:rPr>
      </w:pPr>
      <w:r>
        <w:rPr>
          <w:rFonts w:ascii="Aptos" w:hAnsi="Aptos"/>
        </w:rPr>
        <w:t xml:space="preserve">The Pendency of the Case </w:t>
      </w:r>
    </w:p>
    <w:p w14:paraId="5C409D85" w14:textId="7852A80D" w:rsidR="00062C7D" w:rsidRPr="00062C7D" w:rsidRDefault="00453B74" w:rsidP="00062C7D">
      <w:pPr>
        <w:pStyle w:val="ListParagraph"/>
        <w:jc w:val="both"/>
        <w:rPr>
          <w:rFonts w:ascii="Aptos" w:hAnsi="Aptos"/>
        </w:rPr>
      </w:pPr>
      <w:r>
        <w:rPr>
          <w:rFonts w:ascii="Aptos" w:hAnsi="Aptos"/>
        </w:rPr>
        <w:t xml:space="preserve">While the case is unresolved and pending the parties are able to discuss settlement of the case or request information, statements, documents, and things from the other party through </w:t>
      </w:r>
      <w:r>
        <w:rPr>
          <w:rFonts w:ascii="Aptos" w:hAnsi="Aptos"/>
        </w:rPr>
        <w:lastRenderedPageBreak/>
        <w:t xml:space="preserve">the process of discovery.  </w:t>
      </w:r>
      <w:r w:rsidR="00062C7D">
        <w:rPr>
          <w:rFonts w:ascii="Aptos" w:hAnsi="Aptos"/>
        </w:rPr>
        <w:t xml:space="preserve">The rules allow parties </w:t>
      </w:r>
      <w:proofErr w:type="gramStart"/>
      <w:r w:rsidR="00062C7D">
        <w:rPr>
          <w:rFonts w:ascii="Aptos" w:hAnsi="Aptos"/>
        </w:rPr>
        <w:t>for</w:t>
      </w:r>
      <w:proofErr w:type="gramEnd"/>
      <w:r w:rsidR="00062C7D">
        <w:rPr>
          <w:rFonts w:ascii="Aptos" w:hAnsi="Aptos"/>
        </w:rPr>
        <w:t xml:space="preserve"> require responses </w:t>
      </w:r>
      <w:r w:rsidR="00057380">
        <w:rPr>
          <w:rFonts w:ascii="Aptos" w:hAnsi="Aptos"/>
        </w:rPr>
        <w:t xml:space="preserve">to discovery and we prepare responses on behalf of our clients. </w:t>
      </w:r>
    </w:p>
    <w:p w14:paraId="60834F58" w14:textId="77777777" w:rsidR="00453B74" w:rsidRDefault="00453B74" w:rsidP="00B72616">
      <w:pPr>
        <w:pStyle w:val="ListParagraph"/>
        <w:jc w:val="both"/>
        <w:rPr>
          <w:rFonts w:ascii="Aptos" w:hAnsi="Aptos"/>
        </w:rPr>
      </w:pPr>
    </w:p>
    <w:p w14:paraId="523280E0" w14:textId="0C81D18A" w:rsidR="001E4DD4" w:rsidRPr="001E4DD4" w:rsidRDefault="00453B74" w:rsidP="00F324B5">
      <w:pPr>
        <w:pStyle w:val="Heading2"/>
      </w:pPr>
      <w:r>
        <w:t>Trial</w:t>
      </w:r>
    </w:p>
    <w:p w14:paraId="2AF48EAE" w14:textId="6E830E1B" w:rsidR="00057380" w:rsidRPr="00057380" w:rsidRDefault="00453B74" w:rsidP="00057380">
      <w:pPr>
        <w:pStyle w:val="ListParagraph"/>
        <w:jc w:val="both"/>
        <w:rPr>
          <w:rFonts w:ascii="Aptos" w:hAnsi="Aptos"/>
        </w:rPr>
      </w:pPr>
      <w:r>
        <w:rPr>
          <w:rFonts w:ascii="Aptos" w:hAnsi="Aptos"/>
        </w:rPr>
        <w:t xml:space="preserve">When a case is set for trial, the Plaintiff is required to prove their case to the Court.  </w:t>
      </w:r>
      <w:r w:rsidRPr="00057380">
        <w:rPr>
          <w:rFonts w:ascii="Aptos" w:hAnsi="Aptos"/>
        </w:rPr>
        <w:t xml:space="preserve">A creditor will typically have all of the documentation necessary to prove this claim on file with their attorney’s office before the attorney files the lawsuit.  </w:t>
      </w:r>
    </w:p>
    <w:p w14:paraId="7F5CF233" w14:textId="77777777" w:rsidR="00057380" w:rsidRDefault="00057380" w:rsidP="00453B74">
      <w:pPr>
        <w:pStyle w:val="ListParagraph"/>
        <w:jc w:val="both"/>
        <w:rPr>
          <w:rFonts w:ascii="Aptos" w:hAnsi="Aptos"/>
        </w:rPr>
      </w:pPr>
    </w:p>
    <w:p w14:paraId="0E245119" w14:textId="0FF89C7B" w:rsidR="00453B74" w:rsidRPr="00057380" w:rsidRDefault="00453B74" w:rsidP="00057380">
      <w:pPr>
        <w:pStyle w:val="ListParagraph"/>
        <w:jc w:val="both"/>
        <w:rPr>
          <w:rFonts w:ascii="Aptos" w:hAnsi="Aptos"/>
        </w:rPr>
      </w:pPr>
      <w:r>
        <w:rPr>
          <w:rFonts w:ascii="Aptos" w:hAnsi="Aptos"/>
        </w:rPr>
        <w:t>When defending a trial, the objective is to undermine the Plaintiff successfully presenting their case</w:t>
      </w:r>
      <w:r w:rsidR="00057380">
        <w:rPr>
          <w:rFonts w:ascii="Aptos" w:hAnsi="Aptos"/>
        </w:rPr>
        <w:t xml:space="preserve"> to the Court</w:t>
      </w:r>
      <w:r>
        <w:rPr>
          <w:rFonts w:ascii="Aptos" w:hAnsi="Aptos"/>
        </w:rPr>
        <w:t xml:space="preserve">.  This means that there is a substantial risk to push a case to trial because if the Plaintiff and their attorney do not make a mistake, then the Court will award the Plaintiff everything that they are requesting in the Petition.  </w:t>
      </w:r>
    </w:p>
    <w:p w14:paraId="66C64F17" w14:textId="77777777" w:rsidR="00453B74" w:rsidRDefault="00453B74" w:rsidP="00453B74">
      <w:pPr>
        <w:pStyle w:val="ListParagraph"/>
        <w:jc w:val="both"/>
        <w:rPr>
          <w:rFonts w:ascii="Aptos" w:hAnsi="Aptos"/>
        </w:rPr>
      </w:pPr>
    </w:p>
    <w:p w14:paraId="05B1DA3D" w14:textId="69D9287F" w:rsidR="00453B74" w:rsidRDefault="00453B74" w:rsidP="00453B74">
      <w:pPr>
        <w:pStyle w:val="ListParagraph"/>
        <w:jc w:val="both"/>
        <w:rPr>
          <w:rFonts w:ascii="Aptos" w:hAnsi="Aptos"/>
        </w:rPr>
      </w:pPr>
      <w:r>
        <w:rPr>
          <w:rFonts w:ascii="Aptos" w:hAnsi="Aptos"/>
        </w:rPr>
        <w:t xml:space="preserve">Due to the risk of paying the entire requested amounts with potential attorney’s fees, interest, and costs, we do not typically recommend that our clients proceed to trial when Plaintiff is willing to negotiate a settlement unless some case specific information changes that risk analysis. </w:t>
      </w:r>
    </w:p>
    <w:p w14:paraId="7361B3AB" w14:textId="4032EA7A" w:rsidR="00AC183C" w:rsidRPr="006E77B7" w:rsidRDefault="00453B74" w:rsidP="001C04FE">
      <w:pPr>
        <w:pStyle w:val="Heading2"/>
        <w:jc w:val="both"/>
        <w:rPr>
          <w:rFonts w:ascii="Aptos" w:hAnsi="Aptos"/>
        </w:rPr>
      </w:pPr>
      <w:r>
        <w:rPr>
          <w:rFonts w:ascii="Aptos" w:hAnsi="Aptos"/>
        </w:rPr>
        <w:t>Disposition of the Case</w:t>
      </w:r>
    </w:p>
    <w:p w14:paraId="4BFC8113" w14:textId="20EF2B21" w:rsidR="00453B74" w:rsidRDefault="00453B74" w:rsidP="00453B74">
      <w:pPr>
        <w:pStyle w:val="ListParagraph"/>
        <w:jc w:val="both"/>
        <w:rPr>
          <w:rFonts w:ascii="Aptos" w:hAnsi="Aptos"/>
        </w:rPr>
      </w:pPr>
      <w:r>
        <w:rPr>
          <w:rFonts w:ascii="Aptos" w:hAnsi="Aptos"/>
        </w:rPr>
        <w:t xml:space="preserve">A case can be disposed of, or resolved, through either a dismissal or the entry of a judgment.  </w:t>
      </w:r>
    </w:p>
    <w:p w14:paraId="5C18C87C" w14:textId="77777777" w:rsidR="00453B74" w:rsidRDefault="00453B74" w:rsidP="00453B74">
      <w:pPr>
        <w:pStyle w:val="ListParagraph"/>
        <w:jc w:val="both"/>
        <w:rPr>
          <w:rFonts w:ascii="Aptos" w:hAnsi="Aptos"/>
        </w:rPr>
      </w:pPr>
    </w:p>
    <w:p w14:paraId="16FB35FF" w14:textId="63A8080A" w:rsidR="00453B74" w:rsidRDefault="00453B74" w:rsidP="00057380">
      <w:pPr>
        <w:pStyle w:val="ListParagraph"/>
        <w:jc w:val="both"/>
      </w:pPr>
      <w:r w:rsidRPr="00F324B5">
        <w:rPr>
          <w:rFonts w:ascii="Aptos" w:hAnsi="Aptos"/>
          <w:b/>
          <w:bCs/>
        </w:rPr>
        <w:t xml:space="preserve">Dismissals: </w:t>
      </w:r>
      <w:r>
        <w:rPr>
          <w:rFonts w:ascii="Aptos" w:hAnsi="Aptos"/>
        </w:rPr>
        <w:t xml:space="preserve">Dismissals can </w:t>
      </w:r>
      <w:r w:rsidR="00057380">
        <w:t>with or</w:t>
      </w:r>
      <w:r>
        <w:t xml:space="preserve"> without prejudice:  A case that is dismissed without prejudice means that Plaintiff may still have a valid claim, and can file another future lawsuit, </w:t>
      </w:r>
      <w:r w:rsidR="00057380">
        <w:t>whereas a</w:t>
      </w:r>
      <w:r>
        <w:t xml:space="preserve"> case that is dismissed </w:t>
      </w:r>
      <w:r>
        <w:t>with</w:t>
      </w:r>
      <w:r>
        <w:t xml:space="preserve"> prejudice means that Plaintiff </w:t>
      </w:r>
      <w:r>
        <w:t>no longer</w:t>
      </w:r>
      <w:r>
        <w:t xml:space="preserve"> </w:t>
      </w:r>
      <w:r>
        <w:t>has</w:t>
      </w:r>
      <w:r>
        <w:t xml:space="preserve"> a valid claim</w:t>
      </w:r>
      <w:r w:rsidR="00314CB0">
        <w:t xml:space="preserve">.  </w:t>
      </w:r>
      <w:r>
        <w:t xml:space="preserve">This </w:t>
      </w:r>
      <w:r>
        <w:t xml:space="preserve">is typically filed voluntarily by Plaintiff in exchange for a Defendant </w:t>
      </w:r>
      <w:proofErr w:type="gramStart"/>
      <w:r>
        <w:t>paying</w:t>
      </w:r>
      <w:proofErr w:type="gramEnd"/>
      <w:r>
        <w:t xml:space="preserve"> agreed upon settlement funds</w:t>
      </w:r>
      <w:r w:rsidR="00057380">
        <w:t>.</w:t>
      </w:r>
    </w:p>
    <w:p w14:paraId="46660BAF" w14:textId="77777777" w:rsidR="00057380" w:rsidRDefault="00057380" w:rsidP="00057380">
      <w:pPr>
        <w:pStyle w:val="ListParagraph"/>
        <w:jc w:val="both"/>
      </w:pPr>
    </w:p>
    <w:p w14:paraId="30AB640B" w14:textId="7938D39D" w:rsidR="00F324B5" w:rsidRPr="00453B74" w:rsidRDefault="00453B74" w:rsidP="00F324B5">
      <w:pPr>
        <w:pStyle w:val="ListParagraph"/>
        <w:jc w:val="both"/>
        <w:rPr>
          <w:rFonts w:ascii="Aptos" w:hAnsi="Aptos"/>
        </w:rPr>
      </w:pPr>
      <w:r w:rsidRPr="00F324B5">
        <w:rPr>
          <w:rFonts w:ascii="Aptos" w:hAnsi="Aptos"/>
          <w:b/>
          <w:bCs/>
        </w:rPr>
        <w:t>Judgments</w:t>
      </w:r>
      <w:r w:rsidRPr="00F324B5">
        <w:rPr>
          <w:rFonts w:ascii="Aptos" w:hAnsi="Aptos"/>
          <w:b/>
          <w:bCs/>
        </w:rPr>
        <w:t>:</w:t>
      </w:r>
      <w:r>
        <w:rPr>
          <w:rFonts w:ascii="Aptos" w:hAnsi="Aptos"/>
        </w:rPr>
        <w:t xml:space="preserve"> </w:t>
      </w:r>
      <w:r>
        <w:rPr>
          <w:rFonts w:ascii="Aptos" w:hAnsi="Aptos"/>
        </w:rPr>
        <w:t xml:space="preserve">Judgments </w:t>
      </w:r>
      <w:r w:rsidR="00057380">
        <w:rPr>
          <w:rFonts w:ascii="Aptos" w:hAnsi="Aptos"/>
        </w:rPr>
        <w:t xml:space="preserve">are </w:t>
      </w:r>
      <w:r w:rsidR="00314CB0">
        <w:rPr>
          <w:rFonts w:ascii="Aptos" w:hAnsi="Aptos"/>
        </w:rPr>
        <w:t xml:space="preserve">entered by </w:t>
      </w:r>
      <w:r w:rsidR="00057380">
        <w:rPr>
          <w:rFonts w:ascii="Aptos" w:hAnsi="Aptos"/>
        </w:rPr>
        <w:t>court order</w:t>
      </w:r>
      <w:r w:rsidR="00314CB0">
        <w:rPr>
          <w:rFonts w:ascii="Aptos" w:hAnsi="Aptos"/>
        </w:rPr>
        <w:t>, and</w:t>
      </w:r>
      <w:r>
        <w:rPr>
          <w:rFonts w:ascii="Aptos" w:hAnsi="Aptos"/>
        </w:rPr>
        <w:t xml:space="preserve"> </w:t>
      </w:r>
      <w:r w:rsidR="00314CB0">
        <w:rPr>
          <w:rFonts w:ascii="Aptos" w:hAnsi="Aptos"/>
        </w:rPr>
        <w:t>a</w:t>
      </w:r>
      <w:r w:rsidR="0010535D">
        <w:rPr>
          <w:rFonts w:ascii="Aptos" w:hAnsi="Aptos"/>
        </w:rPr>
        <w:t xml:space="preserve">ll judgments bear a statutory interest rate, unless expressly disclaimed in the judgment.  Contractual interest rates that are much higher than the statutory rate can also be requested in case </w:t>
      </w:r>
      <w:proofErr w:type="gramStart"/>
      <w:r w:rsidR="0010535D">
        <w:rPr>
          <w:rFonts w:ascii="Aptos" w:hAnsi="Aptos"/>
        </w:rPr>
        <w:t>with</w:t>
      </w:r>
      <w:proofErr w:type="gramEnd"/>
      <w:r w:rsidR="0010535D">
        <w:rPr>
          <w:rFonts w:ascii="Aptos" w:hAnsi="Aptos"/>
        </w:rPr>
        <w:t xml:space="preserve"> a signed written contract.  </w:t>
      </w:r>
      <w:r w:rsidR="00F324B5">
        <w:rPr>
          <w:rFonts w:ascii="Aptos" w:hAnsi="Aptos"/>
        </w:rPr>
        <w:t xml:space="preserve">Below are </w:t>
      </w:r>
      <w:r w:rsidR="00F324B5">
        <w:rPr>
          <w:rFonts w:ascii="Aptos" w:hAnsi="Aptos"/>
        </w:rPr>
        <w:t xml:space="preserve">common judgments, but not an exhaustive list of all potential judgments. </w:t>
      </w:r>
    </w:p>
    <w:p w14:paraId="3A29C620" w14:textId="664CF9EB" w:rsidR="00F324B5" w:rsidRDefault="00F324B5" w:rsidP="00F324B5">
      <w:pPr>
        <w:pStyle w:val="Heading3"/>
      </w:pPr>
      <w:r w:rsidRPr="00F324B5">
        <w:t xml:space="preserve">Default Judgment:  A default judgment arising from a party not responding to a lawsuit.  </w:t>
      </w:r>
    </w:p>
    <w:p w14:paraId="17676139" w14:textId="7CA8E334" w:rsidR="00F324B5" w:rsidRDefault="00F324B5" w:rsidP="00F324B5">
      <w:pPr>
        <w:pStyle w:val="Heading3"/>
      </w:pPr>
      <w:r>
        <w:t xml:space="preserve">Consent Judgment:  If a Defendant agrees that they do owe the money a consent judgment can be entered by the Court.  Most creditors will condition longer term payment plans in a settlement on the acceptance of a consent judgment.  In that case the consent judgment is entered with an agreement written into the face of the judgment that if the Defendant makes certain payments as agreed </w:t>
      </w:r>
      <w:r w:rsidR="00314CB0">
        <w:t xml:space="preserve">until an agreed settlement amount is paid, </w:t>
      </w:r>
      <w:r>
        <w:t xml:space="preserve">then the Plaintiff cannot use the judgment for any of the normal collection purposes.  </w:t>
      </w:r>
    </w:p>
    <w:p w14:paraId="6F9390D3" w14:textId="2645E326" w:rsidR="00F324B5" w:rsidRDefault="00F324B5" w:rsidP="00F324B5">
      <w:pPr>
        <w:pStyle w:val="Heading3"/>
      </w:pPr>
      <w:r>
        <w:t xml:space="preserve">Summary Judgment:  When the Court decides that there is no material fact at issue in a case, then  the Court can enter summary judgment.  </w:t>
      </w:r>
    </w:p>
    <w:p w14:paraId="3552C0A2" w14:textId="47AB4949" w:rsidR="00F324B5" w:rsidRDefault="00F324B5" w:rsidP="00F324B5">
      <w:pPr>
        <w:pStyle w:val="Heading3"/>
      </w:pPr>
      <w:r>
        <w:t xml:space="preserve">Trial Judgment:  This is the order of judgment entered by the court after </w:t>
      </w:r>
      <w:proofErr w:type="gramStart"/>
      <w:r>
        <w:t>parties</w:t>
      </w:r>
      <w:proofErr w:type="gramEnd"/>
      <w:r>
        <w:t xml:space="preserve">’ present evidence and arguments to the Court at trial.  This is a substantive judgment. </w:t>
      </w:r>
    </w:p>
    <w:p w14:paraId="1936ED14" w14:textId="4CEFD54C" w:rsidR="00F324B5" w:rsidRPr="006E77B7" w:rsidRDefault="00F324B5" w:rsidP="00F324B5">
      <w:pPr>
        <w:pStyle w:val="Heading2"/>
        <w:jc w:val="both"/>
        <w:rPr>
          <w:rFonts w:ascii="Aptos" w:hAnsi="Aptos"/>
        </w:rPr>
      </w:pPr>
      <w:r>
        <w:rPr>
          <w:rFonts w:ascii="Aptos" w:hAnsi="Aptos"/>
        </w:rPr>
        <w:lastRenderedPageBreak/>
        <w:t>Collection and Enforcement of Judgments</w:t>
      </w:r>
    </w:p>
    <w:p w14:paraId="38A2E994" w14:textId="566E8FD8" w:rsidR="00F324B5" w:rsidRDefault="00F324B5" w:rsidP="00F324B5">
      <w:pPr>
        <w:pStyle w:val="ListParagraph"/>
        <w:jc w:val="both"/>
        <w:rPr>
          <w:rFonts w:ascii="Aptos" w:hAnsi="Aptos"/>
        </w:rPr>
      </w:pPr>
      <w:r>
        <w:rPr>
          <w:rFonts w:ascii="Aptos" w:hAnsi="Aptos"/>
        </w:rPr>
        <w:t>Collection on a judgment is called execution o</w:t>
      </w:r>
      <w:r w:rsidR="00314CB0">
        <w:rPr>
          <w:rFonts w:ascii="Aptos" w:hAnsi="Aptos"/>
        </w:rPr>
        <w:t>f</w:t>
      </w:r>
      <w:r>
        <w:rPr>
          <w:rFonts w:ascii="Aptos" w:hAnsi="Aptos"/>
        </w:rPr>
        <w:t xml:space="preserve"> the judgment.  </w:t>
      </w:r>
      <w:r w:rsidR="00314CB0">
        <w:rPr>
          <w:rFonts w:ascii="Aptos" w:hAnsi="Aptos"/>
        </w:rPr>
        <w:t>W</w:t>
      </w:r>
      <w:r>
        <w:rPr>
          <w:rFonts w:ascii="Aptos" w:hAnsi="Aptos"/>
        </w:rPr>
        <w:t>hen the parties agree to terms to not collect on a judgment, it is called a “stay of executio</w:t>
      </w:r>
      <w:r w:rsidR="00314CB0">
        <w:rPr>
          <w:rFonts w:ascii="Aptos" w:hAnsi="Aptos"/>
        </w:rPr>
        <w:t>n.</w:t>
      </w:r>
      <w:r>
        <w:rPr>
          <w:rFonts w:ascii="Aptos" w:hAnsi="Aptos"/>
        </w:rPr>
        <w:t xml:space="preserve">” A judgment can be executed through </w:t>
      </w:r>
      <w:proofErr w:type="gramStart"/>
      <w:r>
        <w:rPr>
          <w:rFonts w:ascii="Aptos" w:hAnsi="Aptos"/>
        </w:rPr>
        <w:t>liens</w:t>
      </w:r>
      <w:proofErr w:type="gramEnd"/>
      <w:r>
        <w:rPr>
          <w:rFonts w:ascii="Aptos" w:hAnsi="Aptos"/>
        </w:rPr>
        <w:t xml:space="preserve"> and garnishments.  </w:t>
      </w:r>
    </w:p>
    <w:p w14:paraId="564F73DD" w14:textId="717B219C" w:rsidR="00F324B5" w:rsidRDefault="00F324B5" w:rsidP="00F324B5">
      <w:pPr>
        <w:pStyle w:val="Heading3"/>
      </w:pPr>
      <w:r w:rsidRPr="00F324B5">
        <w:t xml:space="preserve">Liens can attach to real estate owned by a judgment debtor </w:t>
      </w:r>
      <w:r>
        <w:t xml:space="preserve">(a Defendant), creditors do not typically foreclose, but are typically paid by title companies during a sale of property to pass good title. </w:t>
      </w:r>
      <w:r w:rsidRPr="00F324B5">
        <w:t xml:space="preserve"> </w:t>
      </w:r>
    </w:p>
    <w:p w14:paraId="11F9BFE0" w14:textId="45868AE8" w:rsidR="00F324B5" w:rsidRPr="00F324B5" w:rsidRDefault="00F324B5" w:rsidP="00F324B5">
      <w:pPr>
        <w:pStyle w:val="Heading3"/>
      </w:pPr>
      <w:r>
        <w:t>G</w:t>
      </w:r>
      <w:r w:rsidRPr="00F324B5">
        <w:t xml:space="preserve">arnishments can attach to funds located in bank accounts or income like wages and salaries.  Some forms of income are exempt and protected from execution under a judgment.  Examples are social security benefits, federal railroad retirements, and some pensions. </w:t>
      </w:r>
    </w:p>
    <w:p w14:paraId="7F79B8AE" w14:textId="0842A106" w:rsidR="00F324B5" w:rsidRDefault="00F324B5" w:rsidP="00F324B5">
      <w:pPr>
        <w:ind w:left="720"/>
      </w:pPr>
      <w:r>
        <w:t xml:space="preserve">A judgment is subject to a statute of limitations and is valid for ten (10) years from the date of entry by the court in Missouri and five (5) years in Kansas.  Both, however, are subject to renewal, though under different circumstances in each state.  If the Plaintiff takes the necessary steps to renew their judgment, it is possible to collect on a judgment older than the time set out by statute. </w:t>
      </w:r>
    </w:p>
    <w:p w14:paraId="17E8F325" w14:textId="4DE393AC" w:rsidR="00EA69BC" w:rsidRDefault="0010535D" w:rsidP="00314CB0">
      <w:pPr>
        <w:ind w:left="720"/>
        <w:rPr>
          <w:rFonts w:ascii="Aptos" w:hAnsi="Aptos"/>
        </w:rPr>
      </w:pPr>
      <w:r>
        <w:t>Satisfaction of Judgment:  When a judgment balance is fully paid then the Plaintiff is require</w:t>
      </w:r>
      <w:r w:rsidR="00EA69BC">
        <w:t>d</w:t>
      </w:r>
      <w:r>
        <w:t xml:space="preserve"> to promptly file a satisfaction of judgment.  </w:t>
      </w:r>
      <w:r w:rsidR="00EA69BC" w:rsidRPr="00EA69BC">
        <w:rPr>
          <w:rFonts w:ascii="Aptos" w:hAnsi="Aptos"/>
        </w:rPr>
        <w:t xml:space="preserve">This operates as a release of the </w:t>
      </w:r>
      <w:proofErr w:type="gramStart"/>
      <w:r w:rsidR="00EA69BC" w:rsidRPr="00EA69BC">
        <w:rPr>
          <w:rFonts w:ascii="Aptos" w:hAnsi="Aptos"/>
        </w:rPr>
        <w:t>lien</w:t>
      </w:r>
      <w:proofErr w:type="gramEnd"/>
      <w:r w:rsidR="00EA69BC" w:rsidRPr="00EA69BC">
        <w:rPr>
          <w:rFonts w:ascii="Aptos" w:hAnsi="Aptos"/>
        </w:rPr>
        <w:t xml:space="preserve"> that was created by the judgment on real property.  </w:t>
      </w:r>
    </w:p>
    <w:p w14:paraId="7371A759" w14:textId="77777777" w:rsidR="00314CB0" w:rsidRDefault="00314CB0" w:rsidP="00314CB0"/>
    <w:p w14:paraId="5C295F6B" w14:textId="28DD1C56" w:rsidR="00453B74" w:rsidRDefault="000D47C6" w:rsidP="000D47C6">
      <w:pPr>
        <w:pStyle w:val="Heading1"/>
        <w:jc w:val="center"/>
      </w:pPr>
      <w:r>
        <w:t>Our Goals in Litigation</w:t>
      </w:r>
    </w:p>
    <w:p w14:paraId="4F691EF3" w14:textId="0DEFCE18" w:rsidR="000D47C6" w:rsidRDefault="000D47C6" w:rsidP="000D47C6">
      <w:pPr>
        <w:jc w:val="both"/>
        <w:rPr>
          <w:rFonts w:ascii="Aptos" w:hAnsi="Aptos"/>
        </w:rPr>
      </w:pPr>
      <w:r>
        <w:rPr>
          <w:rFonts w:ascii="Aptos" w:hAnsi="Aptos"/>
        </w:rPr>
        <w:t xml:space="preserve">We understand that the litigation of a civil debt defense case and all of the particular details of how to respond to a lawsuit are complicated, difficult, and time consuming.  Your attorneys at Callahan Law have extensive experience litigating </w:t>
      </w:r>
      <w:r w:rsidR="007F68C2">
        <w:rPr>
          <w:rFonts w:ascii="Aptos" w:hAnsi="Aptos"/>
        </w:rPr>
        <w:t xml:space="preserve">cases </w:t>
      </w:r>
      <w:r>
        <w:rPr>
          <w:rFonts w:ascii="Aptos" w:hAnsi="Aptos"/>
        </w:rPr>
        <w:t>in state courts throughout Missouri and Kansas and we target our representation</w:t>
      </w:r>
      <w:r w:rsidR="007F68C2">
        <w:rPr>
          <w:rFonts w:ascii="Aptos" w:hAnsi="Aptos"/>
        </w:rPr>
        <w:t xml:space="preserve"> </w:t>
      </w:r>
      <w:proofErr w:type="gramStart"/>
      <w:r w:rsidR="007F68C2">
        <w:rPr>
          <w:rFonts w:ascii="Aptos" w:hAnsi="Aptos"/>
        </w:rPr>
        <w:t>on</w:t>
      </w:r>
      <w:proofErr w:type="gramEnd"/>
      <w:r w:rsidR="007F68C2">
        <w:rPr>
          <w:rFonts w:ascii="Aptos" w:hAnsi="Aptos"/>
        </w:rPr>
        <w:t xml:space="preserve"> each case to</w:t>
      </w:r>
      <w:r>
        <w:rPr>
          <w:rFonts w:ascii="Aptos" w:hAnsi="Aptos"/>
        </w:rPr>
        <w:t xml:space="preserve"> the goals of our clients</w:t>
      </w:r>
      <w:r w:rsidR="007F68C2">
        <w:rPr>
          <w:rFonts w:ascii="Aptos" w:hAnsi="Aptos"/>
        </w:rPr>
        <w:t xml:space="preserve">.  Our knowledge from years of cases with these judges and attorneys allows us to tailor our approach to seek the best resolution for our clients.   </w:t>
      </w:r>
    </w:p>
    <w:p w14:paraId="5983CC74" w14:textId="77777777" w:rsidR="00314CB0" w:rsidRDefault="00314CB0" w:rsidP="000D47C6">
      <w:pPr>
        <w:jc w:val="both"/>
        <w:rPr>
          <w:rFonts w:ascii="Aptos" w:hAnsi="Aptos"/>
        </w:rPr>
      </w:pPr>
    </w:p>
    <w:sectPr w:rsidR="00314CB0" w:rsidSect="00C36CD4">
      <w:footerReference w:type="default" r:id="rId8"/>
      <w:footerReference w:type="first" r:id="rId9"/>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7323" w14:textId="77777777" w:rsidR="00C36CD4" w:rsidRDefault="00C36CD4" w:rsidP="00AC286D">
      <w:pPr>
        <w:spacing w:after="0" w:line="240" w:lineRule="auto"/>
      </w:pPr>
      <w:r>
        <w:separator/>
      </w:r>
    </w:p>
  </w:endnote>
  <w:endnote w:type="continuationSeparator" w:id="0">
    <w:p w14:paraId="0E3027A4" w14:textId="77777777" w:rsidR="00C36CD4" w:rsidRDefault="00C36CD4" w:rsidP="00AC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EC76" w14:textId="0C86E2B2" w:rsidR="006E77B7" w:rsidRPr="006E77B7" w:rsidRDefault="006E77B7" w:rsidP="006E77B7">
    <w:pPr>
      <w:pStyle w:val="Footer"/>
      <w:jc w:val="right"/>
      <w:rPr>
        <w:rFonts w:eastAsia="Times New Roman" w:cs="Arial"/>
        <w:kern w:val="0"/>
        <w:sz w:val="24"/>
        <w:szCs w:val="24"/>
        <w14:ligatures w14:val="none"/>
      </w:rPr>
    </w:pPr>
    <w:r>
      <w:tab/>
    </w:r>
    <w:r w:rsidRPr="006E77B7">
      <w:rPr>
        <w:rFonts w:eastAsia="Times New Roman" w:cs="Arial"/>
        <w:kern w:val="0"/>
        <w14:ligatures w14:val="none"/>
      </w:rPr>
      <w:br/>
      <w:t xml:space="preserve">Page </w:t>
    </w:r>
    <w:r w:rsidRPr="006E77B7">
      <w:rPr>
        <w:rFonts w:eastAsia="Times New Roman" w:cs="Arial"/>
        <w:kern w:val="0"/>
        <w14:ligatures w14:val="none"/>
      </w:rPr>
      <w:fldChar w:fldCharType="begin"/>
    </w:r>
    <w:r w:rsidRPr="006E77B7">
      <w:rPr>
        <w:rFonts w:eastAsia="Times New Roman" w:cs="Arial"/>
        <w:kern w:val="0"/>
        <w14:ligatures w14:val="none"/>
      </w:rPr>
      <w:instrText xml:space="preserve"> PAGE </w:instrText>
    </w:r>
    <w:r w:rsidRPr="006E77B7">
      <w:rPr>
        <w:rFonts w:eastAsia="Times New Roman" w:cs="Arial"/>
        <w:kern w:val="0"/>
        <w14:ligatures w14:val="none"/>
      </w:rPr>
      <w:fldChar w:fldCharType="separate"/>
    </w:r>
    <w:r w:rsidRPr="006E77B7">
      <w:rPr>
        <w:rFonts w:eastAsia="Times New Roman" w:cs="Arial"/>
        <w:kern w:val="0"/>
        <w14:ligatures w14:val="none"/>
      </w:rPr>
      <w:t>1</w:t>
    </w:r>
    <w:r w:rsidRPr="006E77B7">
      <w:rPr>
        <w:rFonts w:eastAsia="Times New Roman" w:cs="Arial"/>
        <w:kern w:val="0"/>
        <w14:ligatures w14:val="none"/>
      </w:rPr>
      <w:fldChar w:fldCharType="end"/>
    </w:r>
    <w:r w:rsidRPr="006E77B7">
      <w:rPr>
        <w:rFonts w:eastAsia="Times New Roman" w:cs="Arial"/>
        <w:kern w:val="0"/>
        <w14:ligatures w14:val="none"/>
      </w:rPr>
      <w:t xml:space="preserve"> of </w:t>
    </w:r>
    <w:r w:rsidRPr="006E77B7">
      <w:rPr>
        <w:rFonts w:eastAsia="Times New Roman" w:cs="Arial"/>
        <w:kern w:val="0"/>
        <w14:ligatures w14:val="none"/>
      </w:rPr>
      <w:fldChar w:fldCharType="begin"/>
    </w:r>
    <w:r w:rsidRPr="006E77B7">
      <w:rPr>
        <w:rFonts w:eastAsia="Times New Roman" w:cs="Arial"/>
        <w:kern w:val="0"/>
        <w14:ligatures w14:val="none"/>
      </w:rPr>
      <w:instrText xml:space="preserve"> SECTIONPAGES  </w:instrText>
    </w:r>
    <w:r w:rsidRPr="006E77B7">
      <w:rPr>
        <w:rFonts w:eastAsia="Times New Roman" w:cs="Arial"/>
        <w:kern w:val="0"/>
        <w14:ligatures w14:val="none"/>
      </w:rPr>
      <w:fldChar w:fldCharType="separate"/>
    </w:r>
    <w:r w:rsidR="00314CB0">
      <w:rPr>
        <w:rFonts w:eastAsia="Times New Roman" w:cs="Arial"/>
        <w:noProof/>
        <w:kern w:val="0"/>
        <w14:ligatures w14:val="none"/>
      </w:rPr>
      <w:t>3</w:t>
    </w:r>
    <w:r w:rsidRPr="006E77B7">
      <w:rPr>
        <w:rFonts w:eastAsia="Times New Roman" w:cs="Arial"/>
        <w:kern w:val="0"/>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6D93" w14:textId="787534C8" w:rsidR="004F074C" w:rsidRDefault="004F074C" w:rsidP="004F074C">
    <w:pPr>
      <w:pStyle w:val="Footer"/>
      <w:jc w:val="right"/>
    </w:pPr>
    <w:r w:rsidRPr="006E77B7">
      <w:rPr>
        <w:rFonts w:eastAsia="Times New Roman" w:cs="Arial"/>
        <w:kern w:val="0"/>
        <w14:ligatures w14:val="none"/>
      </w:rPr>
      <w:t xml:space="preserve">Page </w:t>
    </w:r>
    <w:r w:rsidRPr="006E77B7">
      <w:rPr>
        <w:rFonts w:eastAsia="Times New Roman" w:cs="Arial"/>
        <w:kern w:val="0"/>
        <w14:ligatures w14:val="none"/>
      </w:rPr>
      <w:fldChar w:fldCharType="begin"/>
    </w:r>
    <w:r w:rsidRPr="006E77B7">
      <w:rPr>
        <w:rFonts w:eastAsia="Times New Roman" w:cs="Arial"/>
        <w:kern w:val="0"/>
        <w14:ligatures w14:val="none"/>
      </w:rPr>
      <w:instrText xml:space="preserve"> PAGE </w:instrText>
    </w:r>
    <w:r w:rsidRPr="006E77B7">
      <w:rPr>
        <w:rFonts w:eastAsia="Times New Roman" w:cs="Arial"/>
        <w:kern w:val="0"/>
        <w14:ligatures w14:val="none"/>
      </w:rPr>
      <w:fldChar w:fldCharType="separate"/>
    </w:r>
    <w:r>
      <w:rPr>
        <w:rFonts w:eastAsia="Times New Roman" w:cs="Arial"/>
      </w:rPr>
      <w:t>2</w:t>
    </w:r>
    <w:r w:rsidRPr="006E77B7">
      <w:rPr>
        <w:rFonts w:eastAsia="Times New Roman" w:cs="Arial"/>
        <w:kern w:val="0"/>
        <w14:ligatures w14:val="none"/>
      </w:rPr>
      <w:fldChar w:fldCharType="end"/>
    </w:r>
    <w:r w:rsidRPr="006E77B7">
      <w:rPr>
        <w:rFonts w:eastAsia="Times New Roman" w:cs="Arial"/>
        <w:kern w:val="0"/>
        <w14:ligatures w14:val="none"/>
      </w:rPr>
      <w:t xml:space="preserve"> of </w:t>
    </w:r>
    <w:r w:rsidRPr="006E77B7">
      <w:rPr>
        <w:rFonts w:eastAsia="Times New Roman" w:cs="Arial"/>
        <w:kern w:val="0"/>
        <w14:ligatures w14:val="none"/>
      </w:rPr>
      <w:fldChar w:fldCharType="begin"/>
    </w:r>
    <w:r w:rsidRPr="006E77B7">
      <w:rPr>
        <w:rFonts w:eastAsia="Times New Roman" w:cs="Arial"/>
        <w:kern w:val="0"/>
        <w14:ligatures w14:val="none"/>
      </w:rPr>
      <w:instrText xml:space="preserve"> SECTIONPAGES  </w:instrText>
    </w:r>
    <w:r w:rsidRPr="006E77B7">
      <w:rPr>
        <w:rFonts w:eastAsia="Times New Roman" w:cs="Arial"/>
        <w:kern w:val="0"/>
        <w14:ligatures w14:val="none"/>
      </w:rPr>
      <w:fldChar w:fldCharType="separate"/>
    </w:r>
    <w:r w:rsidR="00314CB0">
      <w:rPr>
        <w:rFonts w:eastAsia="Times New Roman" w:cs="Arial"/>
        <w:noProof/>
        <w:kern w:val="0"/>
        <w14:ligatures w14:val="none"/>
      </w:rPr>
      <w:t>3</w:t>
    </w:r>
    <w:r w:rsidRPr="006E77B7">
      <w:rPr>
        <w:rFonts w:eastAsia="Times New Roman" w:cs="Arial"/>
        <w:kern w:val="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8A51" w14:textId="77777777" w:rsidR="00C36CD4" w:rsidRDefault="00C36CD4" w:rsidP="00AC286D">
      <w:pPr>
        <w:spacing w:after="0" w:line="240" w:lineRule="auto"/>
      </w:pPr>
      <w:r>
        <w:separator/>
      </w:r>
    </w:p>
  </w:footnote>
  <w:footnote w:type="continuationSeparator" w:id="0">
    <w:p w14:paraId="43D89F9D" w14:textId="77777777" w:rsidR="00C36CD4" w:rsidRDefault="00C36CD4" w:rsidP="00AC2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1DB8"/>
    <w:multiLevelType w:val="hybridMultilevel"/>
    <w:tmpl w:val="461E50E6"/>
    <w:lvl w:ilvl="0" w:tplc="E480C59C">
      <w:start w:val="1"/>
      <w:numFmt w:val="decimal"/>
      <w:pStyle w:val="Heading2"/>
      <w:lvlText w:val="%1."/>
      <w:lvlJc w:val="left"/>
      <w:pPr>
        <w:ind w:left="720" w:hanging="360"/>
      </w:pPr>
    </w:lvl>
    <w:lvl w:ilvl="1" w:tplc="DB1A08C0" w:tentative="1">
      <w:start w:val="1"/>
      <w:numFmt w:val="lowerLetter"/>
      <w:pStyle w:val="Heading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B60E8"/>
    <w:multiLevelType w:val="hybridMultilevel"/>
    <w:tmpl w:val="B9EC2F7C"/>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253C03"/>
    <w:multiLevelType w:val="hybridMultilevel"/>
    <w:tmpl w:val="139829A6"/>
    <w:lvl w:ilvl="0" w:tplc="37A89996">
      <w:start w:val="1"/>
      <w:numFmt w:val="decimal"/>
      <w:lvlText w:val="%1."/>
      <w:lvlJc w:val="left"/>
      <w:pPr>
        <w:ind w:left="832" w:hanging="721"/>
      </w:pPr>
      <w:rPr>
        <w:rFonts w:ascii="Candara" w:eastAsia="Candara" w:hAnsi="Candara" w:cs="Candara" w:hint="default"/>
        <w:b/>
        <w:bCs/>
        <w:i w:val="0"/>
        <w:iCs w:val="0"/>
        <w:color w:val="212120"/>
        <w:spacing w:val="-1"/>
        <w:w w:val="99"/>
        <w:sz w:val="22"/>
        <w:szCs w:val="22"/>
        <w:lang w:val="en-US" w:eastAsia="en-US" w:bidi="ar-SA"/>
      </w:rPr>
    </w:lvl>
    <w:lvl w:ilvl="1" w:tplc="943066A4">
      <w:start w:val="1"/>
      <w:numFmt w:val="lowerLetter"/>
      <w:lvlText w:val="(%2)"/>
      <w:lvlJc w:val="left"/>
      <w:pPr>
        <w:ind w:left="1550" w:hanging="721"/>
      </w:pPr>
      <w:rPr>
        <w:rFonts w:ascii="Candara" w:eastAsia="Candara" w:hAnsi="Candara" w:cs="Candara" w:hint="default"/>
        <w:b w:val="0"/>
        <w:bCs w:val="0"/>
        <w:i w:val="0"/>
        <w:iCs w:val="0"/>
        <w:color w:val="212120"/>
        <w:spacing w:val="0"/>
        <w:w w:val="99"/>
        <w:sz w:val="22"/>
        <w:szCs w:val="22"/>
        <w:lang w:val="en-US" w:eastAsia="en-US" w:bidi="ar-SA"/>
      </w:rPr>
    </w:lvl>
    <w:lvl w:ilvl="2" w:tplc="2F8C8F44">
      <w:numFmt w:val="bullet"/>
      <w:lvlText w:val="•"/>
      <w:lvlJc w:val="left"/>
      <w:pPr>
        <w:ind w:left="2491" w:hanging="721"/>
      </w:pPr>
      <w:rPr>
        <w:rFonts w:hint="default"/>
        <w:lang w:val="en-US" w:eastAsia="en-US" w:bidi="ar-SA"/>
      </w:rPr>
    </w:lvl>
    <w:lvl w:ilvl="3" w:tplc="9538EDE0">
      <w:numFmt w:val="bullet"/>
      <w:lvlText w:val="•"/>
      <w:lvlJc w:val="left"/>
      <w:pPr>
        <w:ind w:left="3422" w:hanging="721"/>
      </w:pPr>
      <w:rPr>
        <w:rFonts w:hint="default"/>
        <w:lang w:val="en-US" w:eastAsia="en-US" w:bidi="ar-SA"/>
      </w:rPr>
    </w:lvl>
    <w:lvl w:ilvl="4" w:tplc="3964FF6E">
      <w:numFmt w:val="bullet"/>
      <w:lvlText w:val="•"/>
      <w:lvlJc w:val="left"/>
      <w:pPr>
        <w:ind w:left="4353" w:hanging="721"/>
      </w:pPr>
      <w:rPr>
        <w:rFonts w:hint="default"/>
        <w:lang w:val="en-US" w:eastAsia="en-US" w:bidi="ar-SA"/>
      </w:rPr>
    </w:lvl>
    <w:lvl w:ilvl="5" w:tplc="ACF6D2D0">
      <w:numFmt w:val="bullet"/>
      <w:lvlText w:val="•"/>
      <w:lvlJc w:val="left"/>
      <w:pPr>
        <w:ind w:left="5284" w:hanging="721"/>
      </w:pPr>
      <w:rPr>
        <w:rFonts w:hint="default"/>
        <w:lang w:val="en-US" w:eastAsia="en-US" w:bidi="ar-SA"/>
      </w:rPr>
    </w:lvl>
    <w:lvl w:ilvl="6" w:tplc="FC38AA78">
      <w:numFmt w:val="bullet"/>
      <w:lvlText w:val="•"/>
      <w:lvlJc w:val="left"/>
      <w:pPr>
        <w:ind w:left="6215" w:hanging="721"/>
      </w:pPr>
      <w:rPr>
        <w:rFonts w:hint="default"/>
        <w:lang w:val="en-US" w:eastAsia="en-US" w:bidi="ar-SA"/>
      </w:rPr>
    </w:lvl>
    <w:lvl w:ilvl="7" w:tplc="6914B0E0">
      <w:numFmt w:val="bullet"/>
      <w:lvlText w:val="•"/>
      <w:lvlJc w:val="left"/>
      <w:pPr>
        <w:ind w:left="7146" w:hanging="721"/>
      </w:pPr>
      <w:rPr>
        <w:rFonts w:hint="default"/>
        <w:lang w:val="en-US" w:eastAsia="en-US" w:bidi="ar-SA"/>
      </w:rPr>
    </w:lvl>
    <w:lvl w:ilvl="8" w:tplc="F7B2F1EC">
      <w:numFmt w:val="bullet"/>
      <w:lvlText w:val="•"/>
      <w:lvlJc w:val="left"/>
      <w:pPr>
        <w:ind w:left="8077" w:hanging="721"/>
      </w:pPr>
      <w:rPr>
        <w:rFonts w:hint="default"/>
        <w:lang w:val="en-US" w:eastAsia="en-US" w:bidi="ar-SA"/>
      </w:rPr>
    </w:lvl>
  </w:abstractNum>
  <w:abstractNum w:abstractNumId="3" w15:restartNumberingAfterBreak="0">
    <w:nsid w:val="1E4E41C9"/>
    <w:multiLevelType w:val="hybridMultilevel"/>
    <w:tmpl w:val="E2FA529C"/>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CB3BC2"/>
    <w:multiLevelType w:val="hybridMultilevel"/>
    <w:tmpl w:val="7390B7D8"/>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43625C"/>
    <w:multiLevelType w:val="hybridMultilevel"/>
    <w:tmpl w:val="4D9A7AA8"/>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47713D"/>
    <w:multiLevelType w:val="hybridMultilevel"/>
    <w:tmpl w:val="3DF2F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26FA5"/>
    <w:multiLevelType w:val="hybridMultilevel"/>
    <w:tmpl w:val="B22CE590"/>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0D7C46"/>
    <w:multiLevelType w:val="hybridMultilevel"/>
    <w:tmpl w:val="85F0B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754F6"/>
    <w:multiLevelType w:val="hybridMultilevel"/>
    <w:tmpl w:val="70668780"/>
    <w:lvl w:ilvl="0" w:tplc="71764D58">
      <w:start w:val="5"/>
      <w:numFmt w:val="decimal"/>
      <w:lvlText w:val="%1."/>
      <w:lvlJc w:val="left"/>
      <w:pPr>
        <w:ind w:left="830" w:hanging="721"/>
      </w:pPr>
      <w:rPr>
        <w:rFonts w:ascii="Candara" w:eastAsia="Candara" w:hAnsi="Candara" w:cs="Candara" w:hint="default"/>
        <w:b/>
        <w:bCs/>
        <w:i w:val="0"/>
        <w:iCs w:val="0"/>
        <w:color w:val="212120"/>
        <w:spacing w:val="0"/>
        <w:w w:val="99"/>
        <w:sz w:val="22"/>
        <w:szCs w:val="22"/>
        <w:lang w:val="en-US" w:eastAsia="en-US" w:bidi="ar-SA"/>
      </w:rPr>
    </w:lvl>
    <w:lvl w:ilvl="1" w:tplc="B19E6F9C">
      <w:start w:val="1"/>
      <w:numFmt w:val="lowerLetter"/>
      <w:lvlText w:val="(%2)"/>
      <w:lvlJc w:val="left"/>
      <w:pPr>
        <w:ind w:left="1550" w:hanging="721"/>
      </w:pPr>
      <w:rPr>
        <w:rFonts w:asciiTheme="minorHAnsi" w:hAnsiTheme="minorHAnsi" w:hint="default"/>
        <w:lang w:bidi="ar-SA"/>
      </w:rPr>
    </w:lvl>
    <w:lvl w:ilvl="2" w:tplc="03983D72">
      <w:numFmt w:val="bullet"/>
      <w:lvlText w:val="•"/>
      <w:lvlJc w:val="left"/>
      <w:pPr>
        <w:ind w:left="1560" w:hanging="721"/>
      </w:pPr>
      <w:rPr>
        <w:rFonts w:hint="default"/>
        <w:lang w:val="en-US" w:eastAsia="en-US" w:bidi="ar-SA"/>
      </w:rPr>
    </w:lvl>
    <w:lvl w:ilvl="3" w:tplc="C270FCC6">
      <w:numFmt w:val="bullet"/>
      <w:lvlText w:val="•"/>
      <w:lvlJc w:val="left"/>
      <w:pPr>
        <w:ind w:left="2607" w:hanging="721"/>
      </w:pPr>
      <w:rPr>
        <w:rFonts w:hint="default"/>
        <w:lang w:val="en-US" w:eastAsia="en-US" w:bidi="ar-SA"/>
      </w:rPr>
    </w:lvl>
    <w:lvl w:ilvl="4" w:tplc="F6AE1678">
      <w:numFmt w:val="bullet"/>
      <w:lvlText w:val="•"/>
      <w:lvlJc w:val="left"/>
      <w:pPr>
        <w:ind w:left="3655" w:hanging="721"/>
      </w:pPr>
      <w:rPr>
        <w:rFonts w:hint="default"/>
        <w:lang w:val="en-US" w:eastAsia="en-US" w:bidi="ar-SA"/>
      </w:rPr>
    </w:lvl>
    <w:lvl w:ilvl="5" w:tplc="679439DA">
      <w:numFmt w:val="bullet"/>
      <w:lvlText w:val="•"/>
      <w:lvlJc w:val="left"/>
      <w:pPr>
        <w:ind w:left="4702" w:hanging="721"/>
      </w:pPr>
      <w:rPr>
        <w:rFonts w:hint="default"/>
        <w:lang w:val="en-US" w:eastAsia="en-US" w:bidi="ar-SA"/>
      </w:rPr>
    </w:lvl>
    <w:lvl w:ilvl="6" w:tplc="EF680E62">
      <w:numFmt w:val="bullet"/>
      <w:lvlText w:val="•"/>
      <w:lvlJc w:val="left"/>
      <w:pPr>
        <w:ind w:left="5750" w:hanging="721"/>
      </w:pPr>
      <w:rPr>
        <w:rFonts w:hint="default"/>
        <w:lang w:val="en-US" w:eastAsia="en-US" w:bidi="ar-SA"/>
      </w:rPr>
    </w:lvl>
    <w:lvl w:ilvl="7" w:tplc="075EEFD0">
      <w:numFmt w:val="bullet"/>
      <w:lvlText w:val="•"/>
      <w:lvlJc w:val="left"/>
      <w:pPr>
        <w:ind w:left="6797" w:hanging="721"/>
      </w:pPr>
      <w:rPr>
        <w:rFonts w:hint="default"/>
        <w:lang w:val="en-US" w:eastAsia="en-US" w:bidi="ar-SA"/>
      </w:rPr>
    </w:lvl>
    <w:lvl w:ilvl="8" w:tplc="B32E8A56">
      <w:numFmt w:val="bullet"/>
      <w:lvlText w:val="•"/>
      <w:lvlJc w:val="left"/>
      <w:pPr>
        <w:ind w:left="7845" w:hanging="721"/>
      </w:pPr>
      <w:rPr>
        <w:rFonts w:hint="default"/>
        <w:lang w:val="en-US" w:eastAsia="en-US" w:bidi="ar-SA"/>
      </w:rPr>
    </w:lvl>
  </w:abstractNum>
  <w:num w:numId="1" w16cid:durableId="346636349">
    <w:abstractNumId w:val="0"/>
  </w:num>
  <w:num w:numId="2" w16cid:durableId="969285825">
    <w:abstractNumId w:val="2"/>
  </w:num>
  <w:num w:numId="3" w16cid:durableId="1294287049">
    <w:abstractNumId w:val="1"/>
  </w:num>
  <w:num w:numId="4" w16cid:durableId="633875435">
    <w:abstractNumId w:val="3"/>
  </w:num>
  <w:num w:numId="5" w16cid:durableId="1680738161">
    <w:abstractNumId w:val="9"/>
  </w:num>
  <w:num w:numId="6" w16cid:durableId="2135320327">
    <w:abstractNumId w:val="7"/>
  </w:num>
  <w:num w:numId="7" w16cid:durableId="1605772901">
    <w:abstractNumId w:val="5"/>
  </w:num>
  <w:num w:numId="8" w16cid:durableId="1617525105">
    <w:abstractNumId w:val="4"/>
  </w:num>
  <w:num w:numId="9" w16cid:durableId="1386946487">
    <w:abstractNumId w:val="8"/>
  </w:num>
  <w:num w:numId="10" w16cid:durableId="611479280">
    <w:abstractNumId w:val="9"/>
  </w:num>
  <w:num w:numId="11" w16cid:durableId="55399058">
    <w:abstractNumId w:val="0"/>
    <w:lvlOverride w:ilvl="0">
      <w:lvl w:ilvl="0" w:tplc="E480C59C">
        <w:start w:val="1"/>
        <w:numFmt w:val="lowerLetter"/>
        <w:pStyle w:val="Heading2"/>
        <w:lvlText w:val="%1."/>
        <w:lvlJc w:val="left"/>
        <w:pPr>
          <w:ind w:left="1440" w:hanging="360"/>
        </w:pPr>
      </w:lvl>
    </w:lvlOverride>
    <w:lvlOverride w:ilvl="1">
      <w:lvl w:ilvl="1" w:tplc="DB1A08C0">
        <w:start w:val="1"/>
        <w:numFmt w:val="lowerLetter"/>
        <w:pStyle w:val="Heading3"/>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16cid:durableId="1023048345">
    <w:abstractNumId w:val="6"/>
  </w:num>
  <w:num w:numId="13" w16cid:durableId="1190755632">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4" w16cid:durableId="701713998">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5" w16cid:durableId="1110396051">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6" w16cid:durableId="2125804849">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7" w16cid:durableId="1699425299">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8" w16cid:durableId="1881747563">
    <w:abstractNumId w:val="0"/>
    <w:lvlOverride w:ilvl="0">
      <w:startOverride w:val="1"/>
      <w:lvl w:ilvl="0" w:tplc="E480C59C">
        <w:start w:val="1"/>
        <w:numFmt w:val="lowerLetter"/>
        <w:pStyle w:val="Heading2"/>
        <w:lvlText w:val="%1."/>
        <w:lvlJc w:val="left"/>
        <w:pPr>
          <w:ind w:left="1440" w:hanging="360"/>
        </w:pPr>
      </w:lvl>
    </w:lvlOverride>
  </w:num>
  <w:num w:numId="19" w16cid:durableId="1324696679">
    <w:abstractNumId w:val="0"/>
    <w:lvlOverride w:ilvl="0">
      <w:startOverride w:val="1"/>
      <w:lvl w:ilvl="0" w:tplc="E480C59C">
        <w:start w:val="1"/>
        <w:numFmt w:val="lowerLetter"/>
        <w:pStyle w:val="Heading2"/>
        <w:lvlText w:val="%1."/>
        <w:lvlJc w:val="left"/>
        <w:pPr>
          <w:ind w:left="1440" w:hanging="360"/>
        </w:pPr>
      </w:lvl>
    </w:lvlOverride>
  </w:num>
  <w:num w:numId="20" w16cid:durableId="795830486">
    <w:abstractNumId w:val="0"/>
    <w:lvlOverride w:ilvl="0">
      <w:startOverride w:val="1"/>
      <w:lvl w:ilvl="0" w:tplc="E480C59C">
        <w:start w:val="1"/>
        <w:numFmt w:val="lowerLetter"/>
        <w:pStyle w:val="Heading2"/>
        <w:lvlText w:val="%1."/>
        <w:lvlJc w:val="left"/>
        <w:pPr>
          <w:ind w:left="1440" w:hanging="360"/>
        </w:pPr>
      </w:lvl>
    </w:lvlOverride>
  </w:num>
  <w:num w:numId="21" w16cid:durableId="322465578">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22" w16cid:durableId="2034916020">
    <w:abstractNumId w:val="0"/>
    <w:lvlOverride w:ilvl="0">
      <w:startOverride w:val="1"/>
      <w:lvl w:ilvl="0" w:tplc="E480C59C">
        <w:start w:val="1"/>
        <w:numFmt w:val="lowerLetter"/>
        <w:pStyle w:val="Heading2"/>
        <w:lvlText w:val="%1."/>
        <w:lvlJc w:val="left"/>
        <w:pPr>
          <w:ind w:left="1440" w:hanging="360"/>
        </w:pPr>
      </w:lvl>
    </w:lvlOverride>
  </w:num>
  <w:num w:numId="23" w16cid:durableId="459886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6D"/>
    <w:rsid w:val="00057380"/>
    <w:rsid w:val="00062C7D"/>
    <w:rsid w:val="0008608D"/>
    <w:rsid w:val="000D47C6"/>
    <w:rsid w:val="0010535D"/>
    <w:rsid w:val="00147836"/>
    <w:rsid w:val="00147E8B"/>
    <w:rsid w:val="00160744"/>
    <w:rsid w:val="001A1274"/>
    <w:rsid w:val="001C04FE"/>
    <w:rsid w:val="001C21DE"/>
    <w:rsid w:val="001E31FD"/>
    <w:rsid w:val="001E4DD4"/>
    <w:rsid w:val="00216BA2"/>
    <w:rsid w:val="002E703F"/>
    <w:rsid w:val="00314CB0"/>
    <w:rsid w:val="003477FA"/>
    <w:rsid w:val="00371E2F"/>
    <w:rsid w:val="00381290"/>
    <w:rsid w:val="003E5760"/>
    <w:rsid w:val="00401A35"/>
    <w:rsid w:val="00412BBC"/>
    <w:rsid w:val="00453B74"/>
    <w:rsid w:val="004E3159"/>
    <w:rsid w:val="004F074C"/>
    <w:rsid w:val="00531057"/>
    <w:rsid w:val="0054532A"/>
    <w:rsid w:val="006B505F"/>
    <w:rsid w:val="006E77B7"/>
    <w:rsid w:val="00706F27"/>
    <w:rsid w:val="00722164"/>
    <w:rsid w:val="007F68C2"/>
    <w:rsid w:val="00802CAD"/>
    <w:rsid w:val="00855473"/>
    <w:rsid w:val="00870BDF"/>
    <w:rsid w:val="00942EDE"/>
    <w:rsid w:val="009E2BDF"/>
    <w:rsid w:val="00A64629"/>
    <w:rsid w:val="00AC183C"/>
    <w:rsid w:val="00AC286D"/>
    <w:rsid w:val="00B72616"/>
    <w:rsid w:val="00C36CD4"/>
    <w:rsid w:val="00C86395"/>
    <w:rsid w:val="00D06D7A"/>
    <w:rsid w:val="00D12C4A"/>
    <w:rsid w:val="00D20455"/>
    <w:rsid w:val="00D8523D"/>
    <w:rsid w:val="00E06EB2"/>
    <w:rsid w:val="00EA69BC"/>
    <w:rsid w:val="00F324B5"/>
    <w:rsid w:val="00F8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6E26"/>
  <w15:chartTrackingRefBased/>
  <w15:docId w15:val="{2AFA05FA-3DB3-4670-ABC8-33875980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74C"/>
    <w:pPr>
      <w:spacing w:before="240"/>
      <w:outlineLvl w:val="0"/>
    </w:pPr>
    <w:rPr>
      <w:rFonts w:ascii="Aptos Serif" w:hAnsi="Aptos Serif" w:cs="Aptos Serif"/>
      <w:b/>
      <w:bCs/>
      <w:sz w:val="28"/>
      <w:szCs w:val="28"/>
    </w:rPr>
  </w:style>
  <w:style w:type="paragraph" w:styleId="Heading2">
    <w:name w:val="heading 2"/>
    <w:basedOn w:val="ListParagraph"/>
    <w:next w:val="Normal"/>
    <w:link w:val="Heading2Char"/>
    <w:uiPriority w:val="9"/>
    <w:unhideWhenUsed/>
    <w:qFormat/>
    <w:rsid w:val="00AC286D"/>
    <w:pPr>
      <w:numPr>
        <w:numId w:val="1"/>
      </w:numPr>
      <w:outlineLvl w:val="1"/>
    </w:pPr>
    <w:rPr>
      <w:b/>
      <w:bCs/>
    </w:rPr>
  </w:style>
  <w:style w:type="paragraph" w:styleId="Heading3">
    <w:name w:val="heading 3"/>
    <w:basedOn w:val="Heading2"/>
    <w:next w:val="Normal"/>
    <w:link w:val="Heading3Char"/>
    <w:uiPriority w:val="9"/>
    <w:unhideWhenUsed/>
    <w:qFormat/>
    <w:rsid w:val="001E4DD4"/>
    <w:pPr>
      <w:numPr>
        <w:ilvl w:val="1"/>
        <w:numId w:val="11"/>
      </w:numPr>
      <w:ind w:left="1170"/>
      <w:jc w:val="both"/>
      <w:outlineLvl w:val="2"/>
    </w:pPr>
    <w:rPr>
      <w:rFonts w:ascii="Aptos" w:hAnsi="Aptos"/>
      <w:b w:val="0"/>
      <w:bCs w:val="0"/>
    </w:rPr>
  </w:style>
  <w:style w:type="paragraph" w:styleId="Heading4">
    <w:name w:val="heading 4"/>
    <w:basedOn w:val="Normal"/>
    <w:next w:val="Normal"/>
    <w:link w:val="Heading4Char"/>
    <w:uiPriority w:val="9"/>
    <w:unhideWhenUsed/>
    <w:qFormat/>
    <w:rsid w:val="00870BDF"/>
    <w:pPr>
      <w:tabs>
        <w:tab w:val="left" w:pos="1440"/>
      </w:tabs>
      <w:outlineLvl w:val="3"/>
    </w:pPr>
    <w:rPr>
      <w:b/>
      <w:bCs/>
    </w:rPr>
  </w:style>
  <w:style w:type="paragraph" w:styleId="Heading5">
    <w:name w:val="heading 5"/>
    <w:basedOn w:val="Normal"/>
    <w:next w:val="Normal"/>
    <w:link w:val="Heading5Char"/>
    <w:uiPriority w:val="9"/>
    <w:semiHidden/>
    <w:unhideWhenUsed/>
    <w:qFormat/>
    <w:rsid w:val="00AC2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4C"/>
    <w:rPr>
      <w:rFonts w:ascii="Aptos Serif" w:hAnsi="Aptos Serif" w:cs="Aptos Serif"/>
      <w:b/>
      <w:bCs/>
      <w:sz w:val="28"/>
      <w:szCs w:val="28"/>
    </w:rPr>
  </w:style>
  <w:style w:type="character" w:customStyle="1" w:styleId="Heading2Char">
    <w:name w:val="Heading 2 Char"/>
    <w:basedOn w:val="DefaultParagraphFont"/>
    <w:link w:val="Heading2"/>
    <w:uiPriority w:val="9"/>
    <w:rsid w:val="00AC286D"/>
    <w:rPr>
      <w:b/>
      <w:bCs/>
    </w:rPr>
  </w:style>
  <w:style w:type="character" w:customStyle="1" w:styleId="Heading3Char">
    <w:name w:val="Heading 3 Char"/>
    <w:basedOn w:val="DefaultParagraphFont"/>
    <w:link w:val="Heading3"/>
    <w:uiPriority w:val="9"/>
    <w:rsid w:val="001E4DD4"/>
    <w:rPr>
      <w:rFonts w:ascii="Aptos" w:hAnsi="Aptos"/>
    </w:rPr>
  </w:style>
  <w:style w:type="character" w:customStyle="1" w:styleId="Heading4Char">
    <w:name w:val="Heading 4 Char"/>
    <w:basedOn w:val="DefaultParagraphFont"/>
    <w:link w:val="Heading4"/>
    <w:uiPriority w:val="9"/>
    <w:rsid w:val="00870BDF"/>
    <w:rPr>
      <w:b/>
      <w:bCs/>
    </w:rPr>
  </w:style>
  <w:style w:type="character" w:customStyle="1" w:styleId="Heading5Char">
    <w:name w:val="Heading 5 Char"/>
    <w:basedOn w:val="DefaultParagraphFont"/>
    <w:link w:val="Heading5"/>
    <w:uiPriority w:val="9"/>
    <w:semiHidden/>
    <w:rsid w:val="00AC2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86D"/>
    <w:rPr>
      <w:rFonts w:eastAsiaTheme="majorEastAsia" w:cstheme="majorBidi"/>
      <w:color w:val="272727" w:themeColor="text1" w:themeTint="D8"/>
    </w:rPr>
  </w:style>
  <w:style w:type="paragraph" w:styleId="Title">
    <w:name w:val="Title"/>
    <w:basedOn w:val="Normal"/>
    <w:next w:val="Normal"/>
    <w:link w:val="TitleChar"/>
    <w:uiPriority w:val="10"/>
    <w:qFormat/>
    <w:rsid w:val="00AC2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86D"/>
    <w:pPr>
      <w:spacing w:before="160"/>
      <w:jc w:val="center"/>
    </w:pPr>
    <w:rPr>
      <w:i/>
      <w:iCs/>
      <w:color w:val="404040" w:themeColor="text1" w:themeTint="BF"/>
    </w:rPr>
  </w:style>
  <w:style w:type="character" w:customStyle="1" w:styleId="QuoteChar">
    <w:name w:val="Quote Char"/>
    <w:basedOn w:val="DefaultParagraphFont"/>
    <w:link w:val="Quote"/>
    <w:uiPriority w:val="29"/>
    <w:rsid w:val="00AC286D"/>
    <w:rPr>
      <w:i/>
      <w:iCs/>
      <w:color w:val="404040" w:themeColor="text1" w:themeTint="BF"/>
    </w:rPr>
  </w:style>
  <w:style w:type="paragraph" w:styleId="ListParagraph">
    <w:name w:val="List Paragraph"/>
    <w:basedOn w:val="Normal"/>
    <w:uiPriority w:val="1"/>
    <w:qFormat/>
    <w:rsid w:val="00AC286D"/>
    <w:pPr>
      <w:ind w:left="720"/>
      <w:contextualSpacing/>
    </w:pPr>
  </w:style>
  <w:style w:type="character" w:styleId="IntenseEmphasis">
    <w:name w:val="Intense Emphasis"/>
    <w:basedOn w:val="DefaultParagraphFont"/>
    <w:uiPriority w:val="21"/>
    <w:qFormat/>
    <w:rsid w:val="00AC286D"/>
    <w:rPr>
      <w:i/>
      <w:iCs/>
      <w:color w:val="0F4761" w:themeColor="accent1" w:themeShade="BF"/>
    </w:rPr>
  </w:style>
  <w:style w:type="paragraph" w:styleId="IntenseQuote">
    <w:name w:val="Intense Quote"/>
    <w:basedOn w:val="Normal"/>
    <w:next w:val="Normal"/>
    <w:link w:val="IntenseQuoteChar"/>
    <w:uiPriority w:val="30"/>
    <w:qFormat/>
    <w:rsid w:val="00AC2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86D"/>
    <w:rPr>
      <w:i/>
      <w:iCs/>
      <w:color w:val="0F4761" w:themeColor="accent1" w:themeShade="BF"/>
    </w:rPr>
  </w:style>
  <w:style w:type="character" w:styleId="IntenseReference">
    <w:name w:val="Intense Reference"/>
    <w:basedOn w:val="DefaultParagraphFont"/>
    <w:uiPriority w:val="32"/>
    <w:qFormat/>
    <w:rsid w:val="00AC286D"/>
    <w:rPr>
      <w:b/>
      <w:bCs/>
      <w:smallCaps/>
      <w:color w:val="0F4761" w:themeColor="accent1" w:themeShade="BF"/>
      <w:spacing w:val="5"/>
    </w:rPr>
  </w:style>
  <w:style w:type="paragraph" w:styleId="Header">
    <w:name w:val="header"/>
    <w:basedOn w:val="Normal"/>
    <w:link w:val="HeaderChar"/>
    <w:uiPriority w:val="99"/>
    <w:unhideWhenUsed/>
    <w:rsid w:val="00AC2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86D"/>
  </w:style>
  <w:style w:type="paragraph" w:styleId="Footer">
    <w:name w:val="footer"/>
    <w:basedOn w:val="Normal"/>
    <w:link w:val="FooterChar"/>
    <w:uiPriority w:val="99"/>
    <w:unhideWhenUsed/>
    <w:rsid w:val="00AC2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86D"/>
  </w:style>
  <w:style w:type="paragraph" w:styleId="BodyText">
    <w:name w:val="Body Text"/>
    <w:basedOn w:val="Normal"/>
    <w:link w:val="BodyTextChar"/>
    <w:uiPriority w:val="1"/>
    <w:qFormat/>
    <w:rsid w:val="001A1274"/>
    <w:pPr>
      <w:widowControl w:val="0"/>
      <w:autoSpaceDE w:val="0"/>
      <w:autoSpaceDN w:val="0"/>
      <w:spacing w:after="0" w:line="240" w:lineRule="auto"/>
    </w:pPr>
    <w:rPr>
      <w:rFonts w:ascii="Candara" w:eastAsia="Candara" w:hAnsi="Candara" w:cs="Candara"/>
      <w:kern w:val="0"/>
      <w14:ligatures w14:val="none"/>
    </w:rPr>
  </w:style>
  <w:style w:type="character" w:customStyle="1" w:styleId="BodyTextChar">
    <w:name w:val="Body Text Char"/>
    <w:basedOn w:val="DefaultParagraphFont"/>
    <w:link w:val="BodyText"/>
    <w:uiPriority w:val="1"/>
    <w:rsid w:val="001A1274"/>
    <w:rPr>
      <w:rFonts w:ascii="Candara" w:eastAsia="Candara" w:hAnsi="Candara" w:cs="Candara"/>
      <w:kern w:val="0"/>
      <w14:ligatures w14:val="none"/>
    </w:rPr>
  </w:style>
  <w:style w:type="table" w:styleId="TableGrid">
    <w:name w:val="Table Grid"/>
    <w:basedOn w:val="TableNormal"/>
    <w:uiPriority w:val="59"/>
    <w:rsid w:val="006B505F"/>
    <w:pPr>
      <w:spacing w:after="0" w:line="240" w:lineRule="auto"/>
    </w:pPr>
    <w:rPr>
      <w:rFonts w:ascii="Times New Roman" w:eastAsiaTheme="minorEastAsia"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1075</Words>
  <Characters>6015</Characters>
  <Application>Microsoft Office Word</Application>
  <DocSecurity>0</DocSecurity>
  <Lines>167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3</cp:revision>
  <dcterms:created xsi:type="dcterms:W3CDTF">2024-04-17T22:45:00Z</dcterms:created>
  <dcterms:modified xsi:type="dcterms:W3CDTF">2024-04-18T00:16:00Z</dcterms:modified>
</cp:coreProperties>
</file>